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9E" w:rsidRDefault="00542FF0" w:rsidP="009324EC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03436">
        <w:rPr>
          <w:rFonts w:asciiTheme="minorEastAsia" w:eastAsiaTheme="minorEastAsia" w:hAnsiTheme="minorEastAsia" w:hint="eastAsia"/>
          <w:b/>
          <w:sz w:val="44"/>
          <w:szCs w:val="44"/>
        </w:rPr>
        <w:t>深圳大学</w:t>
      </w:r>
      <w:r w:rsidR="002002FE">
        <w:rPr>
          <w:rFonts w:asciiTheme="minorEastAsia" w:eastAsiaTheme="minorEastAsia" w:hAnsiTheme="minorEastAsia" w:hint="eastAsia"/>
          <w:b/>
          <w:sz w:val="44"/>
          <w:szCs w:val="44"/>
        </w:rPr>
        <w:t>201</w:t>
      </w:r>
      <w:r w:rsidR="00EE404E">
        <w:rPr>
          <w:rFonts w:asciiTheme="minorEastAsia" w:eastAsiaTheme="minorEastAsia" w:hAnsiTheme="minorEastAsia" w:hint="eastAsia"/>
          <w:b/>
          <w:sz w:val="44"/>
          <w:szCs w:val="44"/>
        </w:rPr>
        <w:t>7</w:t>
      </w:r>
      <w:r w:rsidRPr="00103436">
        <w:rPr>
          <w:rFonts w:asciiTheme="minorEastAsia" w:eastAsiaTheme="minorEastAsia" w:hAnsiTheme="minorEastAsia" w:hint="eastAsia"/>
          <w:b/>
          <w:sz w:val="44"/>
          <w:szCs w:val="44"/>
        </w:rPr>
        <w:t>年学生应征入伍</w:t>
      </w:r>
    </w:p>
    <w:p w:rsidR="00B60776" w:rsidRDefault="00542FF0" w:rsidP="00CF54B3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03436">
        <w:rPr>
          <w:rFonts w:asciiTheme="minorEastAsia" w:eastAsiaTheme="minorEastAsia" w:hAnsiTheme="minorEastAsia" w:hint="eastAsia"/>
          <w:b/>
          <w:sz w:val="44"/>
          <w:szCs w:val="44"/>
        </w:rPr>
        <w:t>优惠政策</w:t>
      </w:r>
      <w:r w:rsidR="00365F9E">
        <w:rPr>
          <w:rFonts w:asciiTheme="minorEastAsia" w:eastAsiaTheme="minorEastAsia" w:hAnsiTheme="minorEastAsia" w:hint="eastAsia"/>
          <w:b/>
          <w:sz w:val="44"/>
          <w:szCs w:val="44"/>
        </w:rPr>
        <w:t>汇总</w:t>
      </w:r>
    </w:p>
    <w:p w:rsidR="002C4E11" w:rsidRDefault="002C4E11" w:rsidP="00CF54B3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2C4E11" w:rsidRPr="00B06201" w:rsidRDefault="008D25D7" w:rsidP="002C4E11">
      <w:pPr>
        <w:spacing w:line="360" w:lineRule="auto"/>
        <w:ind w:firstLineChars="200" w:firstLine="640"/>
        <w:rPr>
          <w:rFonts w:ascii="华文仿宋" w:eastAsia="华文仿宋" w:hAnsi="华文仿宋"/>
          <w:color w:val="FF0000"/>
          <w:sz w:val="32"/>
          <w:szCs w:val="32"/>
        </w:rPr>
      </w:pPr>
      <w:r w:rsidRPr="00EC2220">
        <w:rPr>
          <w:rFonts w:ascii="华文仿宋" w:eastAsia="华文仿宋" w:hAnsi="华文仿宋" w:hint="eastAsia"/>
          <w:sz w:val="32"/>
          <w:szCs w:val="32"/>
        </w:rPr>
        <w:t>国无防不立，民无兵不安，一支强大的军队是实现民族复兴的重要保障，而高素质人才是实现强军目标的有力支撑。</w:t>
      </w:r>
      <w:r w:rsidR="00B7781A" w:rsidRPr="00EC2220">
        <w:rPr>
          <w:rFonts w:ascii="华文仿宋" w:eastAsia="华文仿宋" w:hAnsi="华文仿宋" w:hint="eastAsia"/>
          <w:sz w:val="32"/>
          <w:szCs w:val="32"/>
        </w:rPr>
        <w:t>大学生</w:t>
      </w:r>
      <w:r w:rsidR="004849E6">
        <w:rPr>
          <w:rFonts w:ascii="华文仿宋" w:eastAsia="华文仿宋" w:hAnsi="华文仿宋" w:hint="eastAsia"/>
          <w:sz w:val="32"/>
          <w:szCs w:val="32"/>
        </w:rPr>
        <w:t>携笔从戎</w:t>
      </w:r>
      <w:r w:rsidR="00DF3F02">
        <w:rPr>
          <w:rFonts w:ascii="华文仿宋" w:eastAsia="华文仿宋" w:hAnsi="华文仿宋" w:hint="eastAsia"/>
          <w:sz w:val="32"/>
          <w:szCs w:val="32"/>
        </w:rPr>
        <w:t>固</w:t>
      </w:r>
      <w:r w:rsidR="004849E6">
        <w:rPr>
          <w:rFonts w:ascii="华文仿宋" w:eastAsia="华文仿宋" w:hAnsi="华文仿宋" w:hint="eastAsia"/>
          <w:sz w:val="32"/>
          <w:szCs w:val="32"/>
        </w:rPr>
        <w:t>国防，</w:t>
      </w:r>
      <w:r w:rsidR="00E6287B">
        <w:rPr>
          <w:rFonts w:ascii="华文仿宋" w:eastAsia="华文仿宋" w:hAnsi="华文仿宋" w:hint="eastAsia"/>
          <w:sz w:val="32"/>
          <w:szCs w:val="32"/>
        </w:rPr>
        <w:t>立志军营</w:t>
      </w:r>
      <w:r w:rsidR="00DF3F02">
        <w:rPr>
          <w:rFonts w:ascii="华文仿宋" w:eastAsia="华文仿宋" w:hAnsi="华文仿宋" w:hint="eastAsia"/>
          <w:sz w:val="32"/>
          <w:szCs w:val="32"/>
        </w:rPr>
        <w:t>建功</w:t>
      </w:r>
      <w:r w:rsidR="004849E6">
        <w:rPr>
          <w:rFonts w:ascii="华文仿宋" w:eastAsia="华文仿宋" w:hAnsi="华文仿宋" w:hint="eastAsia"/>
          <w:sz w:val="32"/>
          <w:szCs w:val="32"/>
        </w:rPr>
        <w:t>业</w:t>
      </w:r>
      <w:r w:rsidR="00E6287B">
        <w:rPr>
          <w:rFonts w:ascii="华文仿宋" w:eastAsia="华文仿宋" w:hAnsi="华文仿宋" w:hint="eastAsia"/>
          <w:sz w:val="32"/>
          <w:szCs w:val="32"/>
        </w:rPr>
        <w:t>，这</w:t>
      </w:r>
      <w:r w:rsidR="00B7781A" w:rsidRPr="00EC2220">
        <w:rPr>
          <w:rFonts w:ascii="华文仿宋" w:eastAsia="华文仿宋" w:hAnsi="华文仿宋" w:hint="eastAsia"/>
          <w:sz w:val="32"/>
          <w:szCs w:val="32"/>
        </w:rPr>
        <w:t>既是时代的需要，</w:t>
      </w:r>
      <w:r w:rsidR="00E6287B">
        <w:rPr>
          <w:rFonts w:ascii="华文仿宋" w:eastAsia="华文仿宋" w:hAnsi="华文仿宋" w:hint="eastAsia"/>
          <w:sz w:val="32"/>
          <w:szCs w:val="32"/>
        </w:rPr>
        <w:t>更是我们的责任与义务。</w:t>
      </w:r>
      <w:r w:rsidR="002C4E11" w:rsidRPr="00EC2220">
        <w:rPr>
          <w:rFonts w:ascii="仿宋" w:eastAsia="仿宋" w:hAnsi="仿宋" w:hint="eastAsia"/>
          <w:sz w:val="32"/>
          <w:szCs w:val="32"/>
        </w:rPr>
        <w:t xml:space="preserve">2001年，我校成为广东省指定的大学生征兵八所试点院校之一。 </w:t>
      </w:r>
      <w:r w:rsidR="002C4E11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EE404E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2C4E11">
        <w:rPr>
          <w:rFonts w:ascii="仿宋" w:eastAsia="仿宋" w:hAnsi="仿宋" w:hint="eastAsia"/>
          <w:color w:val="000000" w:themeColor="text1"/>
          <w:sz w:val="32"/>
          <w:szCs w:val="32"/>
        </w:rPr>
        <w:t>年来，</w:t>
      </w:r>
      <w:r w:rsidR="00033CA7">
        <w:rPr>
          <w:rFonts w:ascii="仿宋" w:eastAsia="仿宋" w:hAnsi="仿宋" w:hint="eastAsia"/>
          <w:color w:val="000000" w:themeColor="text1"/>
          <w:sz w:val="32"/>
          <w:szCs w:val="32"/>
        </w:rPr>
        <w:t>我校共向部队输送入伍</w:t>
      </w:r>
      <w:r w:rsidR="002C4E11" w:rsidRPr="00A35F57">
        <w:rPr>
          <w:rFonts w:ascii="仿宋" w:eastAsia="仿宋" w:hAnsi="仿宋" w:hint="eastAsia"/>
          <w:color w:val="000000" w:themeColor="text1"/>
          <w:sz w:val="32"/>
          <w:szCs w:val="32"/>
        </w:rPr>
        <w:t>学生</w:t>
      </w:r>
      <w:r w:rsidR="007B4761" w:rsidRPr="00A35F57">
        <w:rPr>
          <w:rFonts w:ascii="仿宋" w:eastAsia="仿宋" w:hAnsi="仿宋" w:hint="eastAsia"/>
          <w:color w:val="000000" w:themeColor="text1"/>
          <w:sz w:val="32"/>
          <w:szCs w:val="32"/>
        </w:rPr>
        <w:t>376</w:t>
      </w:r>
      <w:r w:rsidR="002C4E11" w:rsidRPr="00A35F57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="002C4E11" w:rsidRPr="002014DC">
        <w:rPr>
          <w:rFonts w:ascii="仿宋" w:eastAsia="仿宋" w:hAnsi="仿宋" w:hint="eastAsia"/>
          <w:color w:val="000000" w:themeColor="text1"/>
          <w:sz w:val="32"/>
          <w:szCs w:val="32"/>
        </w:rPr>
        <w:t>，其中</w:t>
      </w:r>
      <w:r w:rsidR="00AB4AD2" w:rsidRPr="002014DC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 w:rsidR="002C4E11" w:rsidRPr="002014DC">
        <w:rPr>
          <w:rFonts w:ascii="仿宋" w:eastAsia="仿宋" w:hAnsi="仿宋" w:hint="eastAsia"/>
          <w:color w:val="000000" w:themeColor="text1"/>
          <w:sz w:val="32"/>
          <w:szCs w:val="32"/>
        </w:rPr>
        <w:t>人考入军校，79人在服役期间入党，1人荣立二等功，33人荣立三等功，</w:t>
      </w:r>
      <w:r w:rsidR="00AB4AD2" w:rsidRPr="002014DC">
        <w:rPr>
          <w:rFonts w:ascii="仿宋" w:eastAsia="仿宋" w:hAnsi="仿宋" w:hint="eastAsia"/>
          <w:color w:val="000000" w:themeColor="text1"/>
          <w:sz w:val="32"/>
          <w:szCs w:val="32"/>
        </w:rPr>
        <w:t>223</w:t>
      </w:r>
      <w:r w:rsidR="002C4E11" w:rsidRPr="002014DC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AB4AD2" w:rsidRPr="002014DC">
        <w:rPr>
          <w:rFonts w:ascii="仿宋" w:eastAsia="仿宋" w:hAnsi="仿宋" w:hint="eastAsia"/>
          <w:color w:val="000000" w:themeColor="text1"/>
          <w:sz w:val="32"/>
          <w:szCs w:val="32"/>
        </w:rPr>
        <w:t>次</w:t>
      </w:r>
      <w:r w:rsidR="002C4E11" w:rsidRPr="002014DC">
        <w:rPr>
          <w:rFonts w:ascii="仿宋" w:eastAsia="仿宋" w:hAnsi="仿宋" w:hint="eastAsia"/>
          <w:color w:val="000000" w:themeColor="text1"/>
          <w:sz w:val="32"/>
          <w:szCs w:val="32"/>
        </w:rPr>
        <w:t>获评优秀士兵。</w:t>
      </w:r>
      <w:r w:rsidR="002C4E11" w:rsidRPr="002014DC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为鼓励更多优秀的大学生参军入伍，国家及学校出台了一系列优惠政策：</w:t>
      </w:r>
      <w:bookmarkStart w:id="0" w:name="_GoBack"/>
      <w:bookmarkEnd w:id="0"/>
    </w:p>
    <w:p w:rsidR="009324EC" w:rsidRPr="00103436" w:rsidRDefault="009324EC" w:rsidP="008C77F7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03436">
        <w:rPr>
          <w:rFonts w:ascii="黑体" w:eastAsia="黑体" w:hAnsi="黑体" w:hint="eastAsia"/>
          <w:b/>
          <w:sz w:val="32"/>
          <w:szCs w:val="32"/>
        </w:rPr>
        <w:t>一、学业方面</w:t>
      </w:r>
    </w:p>
    <w:p w:rsidR="009324EC" w:rsidRDefault="00C3456F" w:rsidP="009324EC">
      <w:pPr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(1)</w:t>
      </w:r>
      <w:r w:rsidR="009324EC">
        <w:rPr>
          <w:rFonts w:ascii="仿宋_GB2312" w:eastAsia="仿宋_GB2312" w:hint="eastAsia"/>
          <w:sz w:val="32"/>
          <w:szCs w:val="32"/>
        </w:rPr>
        <w:t>保留学籍。入伍学生保留学籍或入学资格，退伍后二年内允许复学</w:t>
      </w:r>
      <w:r w:rsidR="00B06201">
        <w:rPr>
          <w:rFonts w:ascii="仿宋_GB2312" w:eastAsia="仿宋_GB2312" w:hint="eastAsia"/>
          <w:sz w:val="32"/>
          <w:szCs w:val="32"/>
        </w:rPr>
        <w:t>。</w:t>
      </w:r>
      <w:r w:rsidR="00A35F57">
        <w:rPr>
          <w:rFonts w:ascii="仿宋_GB2312" w:eastAsia="仿宋_GB2312" w:hint="eastAsia"/>
          <w:sz w:val="32"/>
          <w:szCs w:val="32"/>
        </w:rPr>
        <w:t>根据自愿原则并经学校批准同意，</w:t>
      </w:r>
      <w:r w:rsidR="009324EC">
        <w:rPr>
          <w:rFonts w:ascii="仿宋_GB2312" w:eastAsia="仿宋_GB2312" w:hint="eastAsia"/>
          <w:sz w:val="32"/>
          <w:szCs w:val="32"/>
        </w:rPr>
        <w:t>对退伍学生就读专业做适当调整。</w:t>
      </w:r>
    </w:p>
    <w:p w:rsidR="009324EC" w:rsidRDefault="00C3456F" w:rsidP="009324EC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(2)</w:t>
      </w:r>
      <w:r w:rsidR="009324EC">
        <w:rPr>
          <w:rFonts w:ascii="仿宋_GB2312" w:eastAsia="仿宋_GB2312" w:hint="eastAsia"/>
          <w:sz w:val="32"/>
          <w:szCs w:val="32"/>
        </w:rPr>
        <w:t>课程免修。退伍学生复学后</w:t>
      </w:r>
      <w:r w:rsidR="00FD3B71">
        <w:rPr>
          <w:rFonts w:ascii="仿宋_GB2312" w:eastAsia="仿宋_GB2312" w:hint="eastAsia"/>
          <w:sz w:val="32"/>
          <w:szCs w:val="32"/>
        </w:rPr>
        <w:t>可以免修</w:t>
      </w:r>
      <w:r w:rsidR="009324EC">
        <w:rPr>
          <w:rFonts w:ascii="仿宋_GB2312" w:eastAsia="仿宋_GB2312" w:hint="eastAsia"/>
          <w:sz w:val="32"/>
          <w:szCs w:val="32"/>
        </w:rPr>
        <w:t>思想政治理论课、体育课</w:t>
      </w:r>
      <w:r w:rsidR="00FD3B71">
        <w:rPr>
          <w:rFonts w:ascii="仿宋_GB2312" w:eastAsia="仿宋_GB2312" w:hint="eastAsia"/>
          <w:sz w:val="32"/>
          <w:szCs w:val="32"/>
        </w:rPr>
        <w:t>，学校</w:t>
      </w:r>
      <w:r w:rsidR="009324EC">
        <w:rPr>
          <w:rFonts w:ascii="仿宋_GB2312" w:eastAsia="仿宋_GB2312" w:hint="eastAsia"/>
          <w:sz w:val="32"/>
          <w:szCs w:val="32"/>
        </w:rPr>
        <w:t>承认学分。</w:t>
      </w:r>
    </w:p>
    <w:p w:rsidR="009324EC" w:rsidRDefault="00C3456F" w:rsidP="00C3456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(3)</w:t>
      </w:r>
      <w:r w:rsidR="009324EC" w:rsidRPr="00701EBA">
        <w:rPr>
          <w:rFonts w:ascii="仿宋_GB2312" w:eastAsia="仿宋_GB2312" w:hint="eastAsia"/>
          <w:sz w:val="32"/>
          <w:szCs w:val="32"/>
        </w:rPr>
        <w:t>考试升学加分。</w:t>
      </w:r>
      <w:r w:rsidR="00FD4020" w:rsidRPr="00D838B5">
        <w:rPr>
          <w:rFonts w:ascii="仿宋_GB2312" w:eastAsia="仿宋_GB2312" w:hAnsiTheme="majorEastAsia" w:hint="eastAsia"/>
          <w:sz w:val="32"/>
          <w:szCs w:val="32"/>
        </w:rPr>
        <w:t>在部队荣立二等功及以上的退役人员，符合研究生报名条件的可免试(初试)攻读硕士研究生</w:t>
      </w:r>
      <w:r w:rsidR="00296EA9">
        <w:rPr>
          <w:rFonts w:ascii="仿宋_GB2312" w:eastAsia="仿宋_GB2312" w:hAnsiTheme="majorEastAsia" w:hint="eastAsia"/>
          <w:sz w:val="32"/>
          <w:szCs w:val="32"/>
        </w:rPr>
        <w:t>;</w:t>
      </w:r>
      <w:r w:rsidR="00FD4020" w:rsidRPr="00D838B5">
        <w:rPr>
          <w:rFonts w:ascii="仿宋_GB2312" w:eastAsia="仿宋_GB2312" w:hAnsiTheme="majorEastAsia" w:hint="eastAsia"/>
          <w:sz w:val="32"/>
          <w:szCs w:val="32"/>
        </w:rPr>
        <w:t>对应征入伍</w:t>
      </w:r>
      <w:proofErr w:type="gramStart"/>
      <w:r w:rsidR="00FD4020" w:rsidRPr="00D838B5">
        <w:rPr>
          <w:rFonts w:ascii="仿宋_GB2312" w:eastAsia="仿宋_GB2312" w:hAnsiTheme="majorEastAsia" w:hint="eastAsia"/>
          <w:sz w:val="32"/>
          <w:szCs w:val="32"/>
        </w:rPr>
        <w:t>服义务</w:t>
      </w:r>
      <w:proofErr w:type="gramEnd"/>
      <w:r w:rsidR="00FD4020" w:rsidRPr="00D838B5">
        <w:rPr>
          <w:rFonts w:ascii="仿宋_GB2312" w:eastAsia="仿宋_GB2312" w:hAnsiTheme="majorEastAsia" w:hint="eastAsia"/>
          <w:sz w:val="32"/>
          <w:szCs w:val="32"/>
        </w:rPr>
        <w:t>兵役退役的普通高校</w:t>
      </w:r>
      <w:r w:rsidR="00FD4020">
        <w:rPr>
          <w:rFonts w:ascii="仿宋_GB2312" w:eastAsia="仿宋_GB2312" w:hAnsiTheme="majorEastAsia" w:hint="eastAsia"/>
          <w:sz w:val="32"/>
          <w:szCs w:val="32"/>
        </w:rPr>
        <w:t>应届毕业生、</w:t>
      </w:r>
      <w:r w:rsidR="00FD4020" w:rsidRPr="00D838B5">
        <w:rPr>
          <w:rFonts w:ascii="仿宋_GB2312" w:eastAsia="仿宋_GB2312" w:hAnsiTheme="majorEastAsia" w:hint="eastAsia"/>
          <w:sz w:val="32"/>
          <w:szCs w:val="32"/>
        </w:rPr>
        <w:t>在校生和新生，在完成本科学业后三年内参加全国硕士研究生招生考试，初试总分加10</w:t>
      </w:r>
      <w:r w:rsidR="00FD4020">
        <w:rPr>
          <w:rFonts w:ascii="仿宋_GB2312" w:eastAsia="仿宋_GB2312" w:hAnsiTheme="majorEastAsia" w:hint="eastAsia"/>
          <w:sz w:val="32"/>
          <w:szCs w:val="32"/>
        </w:rPr>
        <w:t>分，同等条件下优先录取</w:t>
      </w:r>
      <w:r w:rsidR="009324EC" w:rsidRPr="00701EBA">
        <w:rPr>
          <w:rFonts w:ascii="仿宋_GB2312" w:eastAsia="仿宋_GB2312" w:hint="eastAsia"/>
          <w:sz w:val="32"/>
          <w:szCs w:val="32"/>
        </w:rPr>
        <w:t>。</w:t>
      </w:r>
    </w:p>
    <w:p w:rsidR="00643AC3" w:rsidRDefault="00C94502" w:rsidP="009324EC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⑷</w:t>
      </w:r>
      <w:r w:rsidR="001F4D58">
        <w:rPr>
          <w:rFonts w:ascii="仿宋_GB2312" w:eastAsia="仿宋_GB2312" w:hint="eastAsia"/>
          <w:sz w:val="32"/>
          <w:szCs w:val="32"/>
        </w:rPr>
        <w:t>国家</w:t>
      </w:r>
      <w:r w:rsidR="00643AC3">
        <w:rPr>
          <w:rFonts w:ascii="仿宋_GB2312" w:eastAsia="仿宋_GB2312" w:hint="eastAsia"/>
          <w:sz w:val="32"/>
          <w:szCs w:val="32"/>
        </w:rPr>
        <w:t>设立“退役大学生士兵”专项硕士研究生招生计划</w:t>
      </w:r>
      <w:r w:rsidR="007D40EA">
        <w:rPr>
          <w:rFonts w:ascii="仿宋_GB2312" w:eastAsia="仿宋_GB2312" w:hint="eastAsia"/>
          <w:sz w:val="32"/>
          <w:szCs w:val="32"/>
        </w:rPr>
        <w:t>。</w:t>
      </w:r>
    </w:p>
    <w:p w:rsidR="00643AC3" w:rsidRPr="00643AC3" w:rsidRDefault="007D40EA" w:rsidP="007D40EA">
      <w:pPr>
        <w:spacing w:line="360" w:lineRule="auto"/>
        <w:rPr>
          <w:rFonts w:ascii="仿宋_GB2312" w:eastAsia="仿宋_GB2312"/>
          <w:sz w:val="32"/>
          <w:szCs w:val="32"/>
        </w:rPr>
      </w:pPr>
      <w:r w:rsidRPr="00D838B5">
        <w:rPr>
          <w:rFonts w:ascii="仿宋_GB2312" w:eastAsia="仿宋_GB2312" w:hAnsiTheme="majorEastAsia" w:hint="eastAsia"/>
          <w:sz w:val="32"/>
          <w:szCs w:val="32"/>
        </w:rPr>
        <w:t>从2015年起，</w:t>
      </w:r>
      <w:r w:rsidR="00643AC3">
        <w:rPr>
          <w:rFonts w:ascii="仿宋_GB2312" w:eastAsia="仿宋_GB2312" w:hint="eastAsia"/>
          <w:sz w:val="32"/>
          <w:szCs w:val="32"/>
        </w:rPr>
        <w:t>根据实际需求，每年安排一定数量专项计划，专门面向退役大学生士兵招生。专项计划规模控制在5000人以内，在全国研究生招生总规模内单列下达，不得挪用 。</w:t>
      </w:r>
    </w:p>
    <w:p w:rsidR="009324EC" w:rsidRPr="00C11F33" w:rsidRDefault="009324EC" w:rsidP="008C77F7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11F33">
        <w:rPr>
          <w:rFonts w:ascii="黑体" w:eastAsia="黑体" w:hAnsi="黑体" w:hint="eastAsia"/>
          <w:b/>
          <w:sz w:val="32"/>
          <w:szCs w:val="32"/>
        </w:rPr>
        <w:t>二、经济方面</w:t>
      </w:r>
    </w:p>
    <w:p w:rsidR="009324EC" w:rsidRPr="00872A5C" w:rsidRDefault="009324EC" w:rsidP="00EA20C1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 w:rsidRPr="00872A5C">
        <w:rPr>
          <w:rFonts w:ascii="仿宋_GB2312" w:eastAsia="仿宋_GB2312" w:hAnsi="宋体" w:cs="宋体" w:hint="eastAsia"/>
          <w:b/>
          <w:sz w:val="32"/>
          <w:szCs w:val="32"/>
        </w:rPr>
        <w:t>学费资助</w:t>
      </w:r>
    </w:p>
    <w:p w:rsidR="009324EC" w:rsidRPr="001514F7" w:rsidRDefault="009324EC" w:rsidP="009324EC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514F7">
        <w:rPr>
          <w:rFonts w:ascii="仿宋_GB2312" w:eastAsia="仿宋_GB2312" w:hAnsi="宋体" w:cs="宋体" w:hint="eastAsia"/>
          <w:sz w:val="32"/>
          <w:szCs w:val="32"/>
        </w:rPr>
        <w:t>国家对应征入伍</w:t>
      </w:r>
      <w:proofErr w:type="gramStart"/>
      <w:r w:rsidRPr="001514F7">
        <w:rPr>
          <w:rFonts w:ascii="仿宋_GB2312" w:eastAsia="仿宋_GB2312" w:hAnsi="宋体" w:cs="宋体" w:hint="eastAsia"/>
          <w:sz w:val="32"/>
          <w:szCs w:val="32"/>
        </w:rPr>
        <w:t>服义务</w:t>
      </w:r>
      <w:proofErr w:type="gramEnd"/>
      <w:r w:rsidRPr="001514F7">
        <w:rPr>
          <w:rFonts w:ascii="仿宋_GB2312" w:eastAsia="仿宋_GB2312" w:hAnsi="宋体" w:cs="宋体" w:hint="eastAsia"/>
          <w:sz w:val="32"/>
          <w:szCs w:val="32"/>
        </w:rPr>
        <w:t>兵役的高校学生在校期间缴纳的学费实</w:t>
      </w:r>
      <w:r w:rsidR="0097020B">
        <w:rPr>
          <w:rFonts w:ascii="仿宋_GB2312" w:eastAsia="仿宋_GB2312" w:hAnsi="宋体" w:cs="宋体" w:hint="eastAsia"/>
          <w:sz w:val="32"/>
          <w:szCs w:val="32"/>
        </w:rPr>
        <w:t>行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一次性补偿，对获得的国家助学贷款实行代偿，退役后复学或入学的实</w:t>
      </w:r>
      <w:r w:rsidR="00391D3E">
        <w:rPr>
          <w:rFonts w:ascii="仿宋_GB2312" w:eastAsia="仿宋_GB2312" w:hAnsi="宋体" w:cs="宋体" w:hint="eastAsia"/>
          <w:sz w:val="32"/>
          <w:szCs w:val="32"/>
        </w:rPr>
        <w:t>行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学费减免。</w:t>
      </w:r>
    </w:p>
    <w:p w:rsidR="009324EC" w:rsidRPr="001514F7" w:rsidRDefault="009324EC" w:rsidP="009324EC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1</w:t>
      </w:r>
      <w:r w:rsidR="00014EA6">
        <w:rPr>
          <w:rFonts w:ascii="仿宋_GB2312" w:eastAsia="仿宋_GB2312" w:hAnsi="宋体" w:cs="宋体" w:hint="eastAsia"/>
          <w:sz w:val="32"/>
          <w:szCs w:val="32"/>
        </w:rPr>
        <w:t>)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资助对象：公办普通高等学校、研究生、第二学士学位的应（往）届生、在校生和入学新生</w:t>
      </w:r>
      <w:r w:rsidR="00261F31">
        <w:rPr>
          <w:rFonts w:ascii="仿宋_GB2312" w:eastAsia="仿宋_GB2312" w:hAnsi="宋体" w:cs="宋体" w:hint="eastAsia"/>
          <w:sz w:val="32"/>
          <w:szCs w:val="32"/>
        </w:rPr>
        <w:t>。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在校期间已免除全部学费的学生</w:t>
      </w:r>
      <w:r w:rsidR="002014DC">
        <w:rPr>
          <w:rFonts w:ascii="仿宋_GB2312" w:eastAsia="仿宋_GB2312" w:hAnsi="宋体" w:cs="宋体" w:hint="eastAsia"/>
          <w:sz w:val="32"/>
          <w:szCs w:val="32"/>
        </w:rPr>
        <w:t>；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定向生、委培生、国防生，其他不属于</w:t>
      </w:r>
      <w:proofErr w:type="gramStart"/>
      <w:r w:rsidRPr="001514F7">
        <w:rPr>
          <w:rFonts w:ascii="仿宋_GB2312" w:eastAsia="仿宋_GB2312" w:hAnsi="宋体" w:cs="宋体" w:hint="eastAsia"/>
          <w:sz w:val="32"/>
          <w:szCs w:val="32"/>
        </w:rPr>
        <w:t>服义务</w:t>
      </w:r>
      <w:proofErr w:type="gramEnd"/>
      <w:r w:rsidRPr="001514F7">
        <w:rPr>
          <w:rFonts w:ascii="仿宋_GB2312" w:eastAsia="仿宋_GB2312" w:hAnsi="宋体" w:cs="宋体" w:hint="eastAsia"/>
          <w:sz w:val="32"/>
          <w:szCs w:val="32"/>
        </w:rPr>
        <w:t>兵役到部队参</w:t>
      </w:r>
      <w:r w:rsidR="00D21656">
        <w:rPr>
          <w:rFonts w:ascii="仿宋_GB2312" w:eastAsia="仿宋_GB2312" w:hAnsi="宋体" w:cs="宋体" w:hint="eastAsia"/>
          <w:sz w:val="32"/>
          <w:szCs w:val="32"/>
        </w:rPr>
        <w:t>军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的学生，不享受国家资助。</w:t>
      </w:r>
    </w:p>
    <w:p w:rsidR="009324EC" w:rsidRPr="005A741D" w:rsidRDefault="009324EC" w:rsidP="005A741D">
      <w:pPr>
        <w:ind w:firstLineChars="200" w:firstLine="640"/>
        <w:rPr>
          <w:rFonts w:ascii="仿宋_GB2312" w:eastAsia="仿宋_GB2312" w:hAnsi="宋体" w:cs="宋体"/>
          <w:b/>
          <w:color w:val="FF000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(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2</w:t>
      </w:r>
      <w:r w:rsidR="00014EA6">
        <w:rPr>
          <w:rFonts w:ascii="仿宋_GB2312" w:eastAsia="仿宋_GB2312" w:hAnsi="宋体" w:cs="宋体" w:hint="eastAsia"/>
          <w:sz w:val="32"/>
          <w:szCs w:val="32"/>
        </w:rPr>
        <w:t>)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资助标准：本专科生</w:t>
      </w:r>
      <w:r w:rsidR="00014EA6">
        <w:rPr>
          <w:rFonts w:ascii="仿宋_GB2312" w:eastAsia="仿宋_GB2312" w:hAnsi="宋体" w:cs="宋体" w:hint="eastAsia"/>
          <w:sz w:val="32"/>
          <w:szCs w:val="32"/>
        </w:rPr>
        <w:t>每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人每年最高不超过</w:t>
      </w:r>
      <w:r w:rsidR="00014EA6">
        <w:rPr>
          <w:rFonts w:ascii="仿宋_GB2312" w:eastAsia="仿宋_GB2312" w:hAnsi="宋体" w:cs="宋体" w:hint="eastAsia"/>
          <w:sz w:val="32"/>
          <w:szCs w:val="32"/>
        </w:rPr>
        <w:t>8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000</w:t>
      </w:r>
      <w:r w:rsidR="00F37BCD">
        <w:rPr>
          <w:rFonts w:ascii="仿宋_GB2312" w:eastAsia="仿宋_GB2312" w:hAnsi="宋体" w:cs="宋体" w:hint="eastAsia"/>
          <w:sz w:val="32"/>
          <w:szCs w:val="32"/>
        </w:rPr>
        <w:t>元，硕士研究生每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人每年</w:t>
      </w:r>
      <w:r w:rsidR="001622AB">
        <w:rPr>
          <w:rFonts w:ascii="仿宋_GB2312" w:eastAsia="仿宋_GB2312" w:hAnsi="宋体" w:cs="宋体" w:hint="eastAsia"/>
          <w:sz w:val="32"/>
          <w:szCs w:val="32"/>
        </w:rPr>
        <w:t>最高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不超过</w:t>
      </w:r>
      <w:r w:rsidR="00014EA6">
        <w:rPr>
          <w:rFonts w:ascii="仿宋_GB2312" w:eastAsia="仿宋_GB2312" w:hAnsi="宋体" w:cs="宋体" w:hint="eastAsia"/>
          <w:sz w:val="32"/>
          <w:szCs w:val="32"/>
        </w:rPr>
        <w:t>12</w:t>
      </w:r>
      <w:r w:rsidRPr="001514F7">
        <w:rPr>
          <w:rFonts w:ascii="仿宋_GB2312" w:eastAsia="仿宋_GB2312" w:hAnsi="宋体" w:cs="宋体" w:hint="eastAsia"/>
          <w:sz w:val="32"/>
          <w:szCs w:val="32"/>
        </w:rPr>
        <w:t>000</w:t>
      </w:r>
      <w:r w:rsidR="008F14F7">
        <w:rPr>
          <w:rFonts w:ascii="仿宋_GB2312" w:eastAsia="仿宋_GB2312" w:hAnsi="宋体" w:cs="宋体" w:hint="eastAsia"/>
          <w:sz w:val="32"/>
          <w:szCs w:val="32"/>
        </w:rPr>
        <w:t>元。</w:t>
      </w:r>
      <w:r w:rsidR="002002FE" w:rsidRPr="002014D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</w:t>
      </w:r>
      <w:r w:rsidR="005A741D" w:rsidRPr="002014DC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在上述资助基础上，</w:t>
      </w:r>
      <w:proofErr w:type="gramStart"/>
      <w:r w:rsidR="0075176F" w:rsidRPr="002014DC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学校对</w:t>
      </w:r>
      <w:r w:rsidR="005A741D" w:rsidRPr="002014DC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缴交</w:t>
      </w:r>
      <w:proofErr w:type="gramEnd"/>
      <w:r w:rsidR="005A741D" w:rsidRPr="002014DC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学费高于国家资助标准的部分予以</w:t>
      </w:r>
      <w:r w:rsidR="0075176F" w:rsidRPr="002014DC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全部</w:t>
      </w:r>
      <w:r w:rsidR="005A741D" w:rsidRPr="002014DC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减免。</w:t>
      </w:r>
      <w:r w:rsidR="002002FE" w:rsidRPr="002014D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）</w:t>
      </w:r>
    </w:p>
    <w:p w:rsidR="009324EC" w:rsidRPr="00C81FB3" w:rsidRDefault="009324EC" w:rsidP="009324EC">
      <w:pPr>
        <w:spacing w:line="360" w:lineRule="auto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2.退役士兵一次性经济补助金</w:t>
      </w:r>
      <w:r w:rsidR="002014DC">
        <w:rPr>
          <w:rFonts w:ascii="仿宋_GB2312" w:eastAsia="仿宋_GB2312" w:hint="eastAsia"/>
          <w:b/>
          <w:sz w:val="32"/>
          <w:szCs w:val="32"/>
        </w:rPr>
        <w:t>、优抚金</w:t>
      </w:r>
    </w:p>
    <w:p w:rsidR="00552813" w:rsidRDefault="00E12C27" w:rsidP="00552813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(1)</w:t>
      </w:r>
      <w:r w:rsidR="009324EC">
        <w:rPr>
          <w:rFonts w:ascii="仿宋_GB2312" w:eastAsia="仿宋_GB2312" w:hint="eastAsia"/>
          <w:sz w:val="32"/>
          <w:szCs w:val="32"/>
        </w:rPr>
        <w:t>根据</w:t>
      </w:r>
      <w:r w:rsidR="00D078FB">
        <w:rPr>
          <w:rFonts w:ascii="仿宋_GB2312" w:eastAsia="仿宋_GB2312" w:hint="eastAsia"/>
          <w:sz w:val="32"/>
          <w:szCs w:val="32"/>
        </w:rPr>
        <w:t>深圳市民政局、深圳市财政委员会《关于调整退役士兵一次性经济补助金标准的通知》（深民[2014]145号）文件规定，退伍义务兵补助金按深圳市上年度城镇居民人均年可支配收入标准2.2倍发放</w:t>
      </w:r>
      <w:r w:rsidR="00552813">
        <w:rPr>
          <w:rFonts w:ascii="仿宋_GB2312" w:eastAsia="仿宋_GB2312" w:hint="eastAsia"/>
          <w:sz w:val="32"/>
          <w:szCs w:val="32"/>
        </w:rPr>
        <w:t>。</w:t>
      </w:r>
    </w:p>
    <w:p w:rsidR="00D078FB" w:rsidRDefault="00D078FB" w:rsidP="00552813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获得中央军事委员会、军队大军区级单位授予荣誉称号，或者荣立一等功的，增发15%；荣立二等功的，增发10%；荣立三等功的，增发5%。多次获得荣誉称号或者立功的，按照其中最高等级比例增发。</w:t>
      </w:r>
    </w:p>
    <w:p w:rsidR="00CD1824" w:rsidRPr="002014DC" w:rsidRDefault="002014DC" w:rsidP="002014D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(2)在服役期间</w:t>
      </w:r>
      <w:r w:rsidRPr="002014DC">
        <w:rPr>
          <w:rFonts w:ascii="仿宋_GB2312" w:eastAsia="仿宋_GB2312" w:hint="eastAsia"/>
          <w:sz w:val="32"/>
          <w:szCs w:val="32"/>
        </w:rPr>
        <w:t>，</w:t>
      </w:r>
      <w:r w:rsidR="00CD1824" w:rsidRPr="002014DC">
        <w:rPr>
          <w:rFonts w:ascii="仿宋_GB2312" w:eastAsia="仿宋_GB2312" w:hint="eastAsia"/>
          <w:sz w:val="32"/>
          <w:szCs w:val="32"/>
        </w:rPr>
        <w:t>地方政府</w:t>
      </w:r>
      <w:r w:rsidRPr="002014DC">
        <w:rPr>
          <w:rFonts w:ascii="仿宋_GB2312" w:eastAsia="仿宋_GB2312" w:hint="eastAsia"/>
          <w:sz w:val="32"/>
          <w:szCs w:val="32"/>
        </w:rPr>
        <w:t>每年</w:t>
      </w:r>
      <w:r w:rsidR="00CD1824" w:rsidRPr="002014DC">
        <w:rPr>
          <w:rFonts w:ascii="仿宋_GB2312" w:eastAsia="仿宋_GB2312" w:hint="eastAsia"/>
          <w:sz w:val="32"/>
          <w:szCs w:val="32"/>
        </w:rPr>
        <w:t>发放</w:t>
      </w:r>
      <w:r w:rsidRPr="002014DC">
        <w:rPr>
          <w:rFonts w:ascii="仿宋_GB2312" w:eastAsia="仿宋_GB2312" w:hint="eastAsia"/>
          <w:sz w:val="32"/>
          <w:szCs w:val="32"/>
        </w:rPr>
        <w:t>优抚金6000元及过节费2500元，二年共计17000元</w:t>
      </w:r>
      <w:r w:rsidR="00CD1824" w:rsidRPr="002014DC">
        <w:rPr>
          <w:rFonts w:ascii="仿宋_GB2312" w:eastAsia="仿宋_GB2312" w:hint="eastAsia"/>
          <w:sz w:val="32"/>
          <w:szCs w:val="32"/>
        </w:rPr>
        <w:t>。</w:t>
      </w:r>
    </w:p>
    <w:p w:rsidR="009324EC" w:rsidRPr="004D1857" w:rsidRDefault="009324EC" w:rsidP="00EA20C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 w:rsidR="00077084">
        <w:rPr>
          <w:rFonts w:ascii="仿宋_GB2312" w:eastAsia="仿宋_GB2312" w:hint="eastAsia"/>
          <w:b/>
          <w:sz w:val="32"/>
          <w:szCs w:val="32"/>
        </w:rPr>
        <w:t>学校</w:t>
      </w:r>
      <w:r>
        <w:rPr>
          <w:rFonts w:ascii="仿宋_GB2312" w:eastAsia="仿宋_GB2312" w:hint="eastAsia"/>
          <w:b/>
          <w:sz w:val="32"/>
          <w:szCs w:val="32"/>
        </w:rPr>
        <w:t>奖学金</w:t>
      </w:r>
    </w:p>
    <w:p w:rsidR="009324EC" w:rsidRDefault="009324EC" w:rsidP="00003E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入伍前享有奖学金的学生，入伍前一次性发放。退伍学生服役期间未</w:t>
      </w:r>
      <w:r w:rsidR="008A5DC2">
        <w:rPr>
          <w:rFonts w:ascii="仿宋_GB2312" w:eastAsia="仿宋_GB2312" w:hint="eastAsia"/>
          <w:sz w:val="32"/>
          <w:szCs w:val="32"/>
        </w:rPr>
        <w:t>受到</w:t>
      </w:r>
      <w:r>
        <w:rPr>
          <w:rFonts w:ascii="仿宋_GB2312" w:eastAsia="仿宋_GB2312" w:hint="eastAsia"/>
          <w:sz w:val="32"/>
          <w:szCs w:val="32"/>
        </w:rPr>
        <w:t>任何处分，</w:t>
      </w:r>
      <w:r w:rsidR="00C8058B" w:rsidRPr="00C8058B">
        <w:rPr>
          <w:rFonts w:ascii="仿宋_GB2312" w:eastAsia="仿宋_GB2312" w:hint="eastAsia"/>
          <w:sz w:val="32"/>
          <w:szCs w:val="32"/>
        </w:rPr>
        <w:t>退伍复学回校后即可申请服役期间奖学</w:t>
      </w:r>
      <w:r w:rsidR="00003E2B">
        <w:rPr>
          <w:rFonts w:ascii="仿宋_GB2312" w:eastAsia="仿宋_GB2312" w:hint="eastAsia"/>
          <w:sz w:val="32"/>
          <w:szCs w:val="32"/>
        </w:rPr>
        <w:t>金，其中：</w:t>
      </w:r>
      <w:r w:rsidR="00C8058B" w:rsidRPr="00C8058B">
        <w:rPr>
          <w:rFonts w:ascii="仿宋_GB2312" w:eastAsia="仿宋_GB2312" w:hint="eastAsia"/>
          <w:sz w:val="32"/>
          <w:szCs w:val="32"/>
        </w:rPr>
        <w:t>在部队获三等功以上（含三等功）奖励者，回校后当年获深圳大学特等奖学金；</w:t>
      </w:r>
      <w:proofErr w:type="gramStart"/>
      <w:r w:rsidR="00C8058B" w:rsidRPr="00C8058B">
        <w:rPr>
          <w:rFonts w:ascii="仿宋_GB2312" w:eastAsia="仿宋_GB2312" w:hint="eastAsia"/>
          <w:sz w:val="32"/>
          <w:szCs w:val="32"/>
        </w:rPr>
        <w:t>获团嘉奖</w:t>
      </w:r>
      <w:proofErr w:type="gramEnd"/>
      <w:r w:rsidR="00C8058B" w:rsidRPr="00C8058B">
        <w:rPr>
          <w:rFonts w:ascii="仿宋_GB2312" w:eastAsia="仿宋_GB2312" w:hint="eastAsia"/>
          <w:sz w:val="32"/>
          <w:szCs w:val="32"/>
        </w:rPr>
        <w:t>及优秀</w:t>
      </w:r>
      <w:r w:rsidR="00077084">
        <w:rPr>
          <w:rFonts w:ascii="仿宋_GB2312" w:eastAsia="仿宋_GB2312" w:hint="eastAsia"/>
          <w:sz w:val="32"/>
          <w:szCs w:val="32"/>
        </w:rPr>
        <w:t>义务</w:t>
      </w:r>
      <w:r w:rsidR="00C8058B" w:rsidRPr="00C8058B">
        <w:rPr>
          <w:rFonts w:ascii="仿宋_GB2312" w:eastAsia="仿宋_GB2312" w:hint="eastAsia"/>
          <w:sz w:val="32"/>
          <w:szCs w:val="32"/>
        </w:rPr>
        <w:t>兵称号者，回校当年获一等奖学金；获营级以下（含营级）嘉奖者，回校当年获二等奖学金；其他同学获三等奖学金。奖学金以最高</w:t>
      </w:r>
      <w:r w:rsidR="00C8058B">
        <w:rPr>
          <w:rFonts w:ascii="仿宋_GB2312" w:eastAsia="仿宋_GB2312" w:hint="eastAsia"/>
          <w:sz w:val="32"/>
          <w:szCs w:val="32"/>
        </w:rPr>
        <w:t>一项计发，不重复获奖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324EC" w:rsidRPr="00CA4340" w:rsidRDefault="009324EC" w:rsidP="00EA20C1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="00EB4AAB" w:rsidRPr="00EB4AAB">
        <w:rPr>
          <w:rFonts w:ascii="仿宋_GB2312" w:eastAsia="仿宋_GB2312" w:hint="eastAsia"/>
          <w:sz w:val="32"/>
          <w:szCs w:val="32"/>
        </w:rPr>
        <w:t xml:space="preserve"> </w:t>
      </w:r>
      <w:r w:rsidR="00EB4AAB" w:rsidRPr="00CA4340">
        <w:rPr>
          <w:rFonts w:ascii="黑体" w:eastAsia="黑体" w:hAnsi="黑体" w:hint="eastAsia"/>
          <w:b/>
          <w:sz w:val="32"/>
          <w:szCs w:val="32"/>
        </w:rPr>
        <w:t>学校</w:t>
      </w:r>
      <w:r w:rsidRPr="00CA4340">
        <w:rPr>
          <w:rFonts w:ascii="黑体" w:eastAsia="黑体" w:hAnsi="黑体" w:hint="eastAsia"/>
          <w:b/>
          <w:sz w:val="32"/>
          <w:szCs w:val="32"/>
        </w:rPr>
        <w:t>生活补贴</w:t>
      </w:r>
    </w:p>
    <w:p w:rsidR="009324EC" w:rsidRDefault="009324EC" w:rsidP="009324EC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退役复学后，学校将按在读研究生标准发放生活津贴</w:t>
      </w:r>
      <w:r w:rsidR="00C8053A">
        <w:rPr>
          <w:rFonts w:ascii="仿宋_GB2312" w:eastAsia="仿宋_GB2312" w:hint="eastAsia"/>
          <w:sz w:val="32"/>
          <w:szCs w:val="32"/>
        </w:rPr>
        <w:t>（6000元/年</w:t>
      </w:r>
      <w:r w:rsidR="00F24559" w:rsidRPr="000F41C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7A5079" w:rsidRPr="000F41C7">
        <w:rPr>
          <w:rFonts w:ascii="仿宋_GB2312" w:eastAsia="仿宋_GB2312" w:hint="eastAsia"/>
          <w:color w:val="000000" w:themeColor="text1"/>
          <w:sz w:val="32"/>
          <w:szCs w:val="32"/>
        </w:rPr>
        <w:t>2017年9月1号开始8000元/年）</w:t>
      </w:r>
      <w:r>
        <w:rPr>
          <w:rFonts w:ascii="仿宋_GB2312" w:eastAsia="仿宋_GB2312" w:hint="eastAsia"/>
          <w:sz w:val="32"/>
          <w:szCs w:val="32"/>
        </w:rPr>
        <w:t>，发放期限为国家规定的相关专业相应学制剩余期限。</w:t>
      </w:r>
    </w:p>
    <w:p w:rsidR="009324EC" w:rsidRPr="00C11F33" w:rsidRDefault="009324EC" w:rsidP="008C77F7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11F33">
        <w:rPr>
          <w:rFonts w:ascii="黑体" w:eastAsia="黑体" w:hAnsi="黑体" w:hint="eastAsia"/>
          <w:b/>
          <w:sz w:val="32"/>
          <w:szCs w:val="32"/>
        </w:rPr>
        <w:t>三、就业方面</w:t>
      </w:r>
    </w:p>
    <w:p w:rsidR="009324EC" w:rsidRDefault="00CD0C05" w:rsidP="009324EC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(1)</w:t>
      </w:r>
      <w:r w:rsidR="00561A2F">
        <w:rPr>
          <w:rFonts w:ascii="仿宋_GB2312" w:eastAsia="仿宋_GB2312" w:hint="eastAsia"/>
          <w:sz w:val="32"/>
          <w:szCs w:val="32"/>
        </w:rPr>
        <w:t>服现役年限可计算工龄，与所在单位工作年限累积</w:t>
      </w:r>
      <w:r w:rsidR="009324EC">
        <w:rPr>
          <w:rFonts w:ascii="仿宋_GB2312" w:eastAsia="仿宋_GB2312" w:hint="eastAsia"/>
          <w:sz w:val="32"/>
          <w:szCs w:val="32"/>
        </w:rPr>
        <w:t xml:space="preserve">计算，享受国家和所在单位规定的与工龄有关的相关待遇；  </w:t>
      </w:r>
    </w:p>
    <w:p w:rsidR="00CD0C05" w:rsidRDefault="00CD0C05" w:rsidP="00CD0C0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(2)</w:t>
      </w:r>
      <w:r w:rsidR="00B83DEC">
        <w:rPr>
          <w:rFonts w:ascii="仿宋_GB2312" w:eastAsia="仿宋_GB2312" w:hint="eastAsia"/>
          <w:sz w:val="32"/>
          <w:szCs w:val="32"/>
        </w:rPr>
        <w:t>高校毕业生退役一年内,可视同当年的应届毕业生,凭</w:t>
      </w:r>
      <w:r w:rsidR="000F1568">
        <w:rPr>
          <w:rFonts w:ascii="仿宋_GB2312" w:eastAsia="仿宋_GB2312" w:hint="eastAsia"/>
          <w:sz w:val="32"/>
          <w:szCs w:val="32"/>
        </w:rPr>
        <w:t>用人单位录(聘)用手续,向原就读高校再次申请办理就业</w:t>
      </w:r>
      <w:r w:rsidR="000F1568">
        <w:rPr>
          <w:rFonts w:ascii="仿宋_GB2312" w:eastAsia="仿宋_GB2312" w:hint="eastAsia"/>
          <w:sz w:val="32"/>
          <w:szCs w:val="32"/>
        </w:rPr>
        <w:lastRenderedPageBreak/>
        <w:t>报到手续,</w:t>
      </w:r>
      <w:proofErr w:type="gramStart"/>
      <w:r w:rsidR="000F1568">
        <w:rPr>
          <w:rFonts w:ascii="仿宋_GB2312" w:eastAsia="仿宋_GB2312" w:hint="eastAsia"/>
          <w:sz w:val="32"/>
          <w:szCs w:val="32"/>
        </w:rPr>
        <w:t>户档随迁</w:t>
      </w:r>
      <w:proofErr w:type="gramEnd"/>
      <w:r w:rsidR="000F1568">
        <w:rPr>
          <w:rFonts w:ascii="仿宋_GB2312" w:eastAsia="仿宋_GB2312" w:hint="eastAsia"/>
          <w:sz w:val="32"/>
          <w:szCs w:val="32"/>
        </w:rPr>
        <w:t>(直辖市按照有关规定执行)。</w:t>
      </w:r>
    </w:p>
    <w:p w:rsidR="00CD0C05" w:rsidRDefault="00CD0C05" w:rsidP="00CD0C0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(3)学校在毕业生中选拔政治辅导员时，将优先录取退伍大学毕业生</w:t>
      </w:r>
      <w:r w:rsidR="001F5521">
        <w:rPr>
          <w:rFonts w:ascii="仿宋_GB2312" w:eastAsia="仿宋_GB2312" w:hint="eastAsia"/>
          <w:sz w:val="32"/>
          <w:szCs w:val="32"/>
        </w:rPr>
        <w:t>。</w:t>
      </w:r>
    </w:p>
    <w:p w:rsidR="006B3B04" w:rsidRPr="006B3B04" w:rsidRDefault="006B3B04" w:rsidP="006B3B04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  <w:sectPr w:rsidR="006B3B04" w:rsidRPr="006B3B04" w:rsidSect="00536087">
          <w:pgSz w:w="11906" w:h="16838"/>
          <w:pgMar w:top="1276" w:right="1800" w:bottom="1134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2695"/>
        <w:tblW w:w="14850" w:type="dxa"/>
        <w:tblLayout w:type="fixed"/>
        <w:tblLook w:val="04A0"/>
      </w:tblPr>
      <w:tblGrid>
        <w:gridCol w:w="4077"/>
        <w:gridCol w:w="5245"/>
        <w:gridCol w:w="1418"/>
        <w:gridCol w:w="4110"/>
      </w:tblGrid>
      <w:tr w:rsidR="00696BC6" w:rsidRPr="00696BC6" w:rsidTr="00A41CE0">
        <w:trPr>
          <w:trHeight w:val="6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C6" w:rsidRPr="00696BC6" w:rsidRDefault="00696BC6" w:rsidP="00CF48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96B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项目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C6" w:rsidRPr="00696BC6" w:rsidRDefault="00696BC6" w:rsidP="00CF48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96B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C6" w:rsidRPr="00696BC6" w:rsidRDefault="00696BC6" w:rsidP="00CF48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96B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总额</w:t>
            </w:r>
            <w:r w:rsidR="007056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C6" w:rsidRPr="00696BC6" w:rsidRDefault="00696BC6" w:rsidP="00CF48E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96B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D01D4" w:rsidRPr="00696BC6" w:rsidTr="00A41CE0">
        <w:trPr>
          <w:trHeight w:val="83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D4" w:rsidRDefault="00DD01D4" w:rsidP="004070C7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政府</w:t>
            </w:r>
            <w:r w:rsidR="004070C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发放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一次性</w:t>
            </w:r>
            <w:r w:rsidR="004070C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退役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补助</w:t>
            </w:r>
            <w:r w:rsidR="00935A7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D4" w:rsidRPr="00DD01D4" w:rsidRDefault="00DD01D4" w:rsidP="002E5B87">
            <w:pPr>
              <w:pStyle w:val="a6"/>
              <w:spacing w:line="3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上年度城镇居民人均可支配收入4465</w:t>
            </w:r>
            <w:r w:rsidR="00C21C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 w:rsidR="002A0BF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，按2.2倍发放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D4" w:rsidRDefault="00DD01D4" w:rsidP="002E5B8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9823</w:t>
            </w:r>
            <w:r w:rsidR="00351A3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D4" w:rsidRPr="00227F5B" w:rsidRDefault="00DD01D4" w:rsidP="00262F4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荣立</w:t>
            </w:r>
            <w:r w:rsidR="00262F4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等功</w:t>
            </w:r>
            <w:r w:rsidR="00262F4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增发10%，荣立三等功增发5%，</w:t>
            </w:r>
          </w:p>
        </w:tc>
      </w:tr>
      <w:tr w:rsidR="007D1254" w:rsidRPr="00696BC6" w:rsidTr="00A41CE0">
        <w:trPr>
          <w:trHeight w:val="83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54" w:rsidRDefault="007D1254" w:rsidP="00351A3B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国家学费资助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54" w:rsidRPr="002E5B87" w:rsidRDefault="007D1254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每年</w:t>
            </w:r>
            <w:r w:rsidR="00A41CE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学费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5500元，按4年计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54" w:rsidRPr="002E5B87" w:rsidRDefault="007D1254" w:rsidP="002E5B87">
            <w:pPr>
              <w:pStyle w:val="a6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54" w:rsidRPr="002E5B87" w:rsidRDefault="007D1254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超过国家资助部分</w:t>
            </w:r>
            <w:r w:rsidR="00262F47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（最高8000元），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学校全部减免</w:t>
            </w:r>
            <w:r w:rsidR="00262F47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</w:tr>
      <w:tr w:rsidR="007D1254" w:rsidRPr="00696BC6" w:rsidTr="00A41CE0">
        <w:trPr>
          <w:trHeight w:val="83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54" w:rsidRDefault="007D1254" w:rsidP="00C271F9">
            <w:pPr>
              <w:pStyle w:val="a6"/>
              <w:spacing w:line="3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服役期间部队发放补贴</w:t>
            </w:r>
            <w:r w:rsidR="00C271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、退役金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54" w:rsidRPr="002E5B87" w:rsidRDefault="007D1254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E5B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第一年</w:t>
            </w:r>
            <w:r w:rsidR="00351A3B" w:rsidRPr="002E5B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650</w:t>
            </w:r>
            <w:r w:rsidRPr="002E5B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元/月，第二年</w:t>
            </w:r>
            <w:r w:rsidR="00351A3B" w:rsidRPr="002E5B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960</w:t>
            </w:r>
            <w:r w:rsidRPr="002E5B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元/月，</w:t>
            </w:r>
            <w:r w:rsidR="00C271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部队发放退役金</w:t>
            </w:r>
            <w:r w:rsidRPr="002E5B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 w:rsidR="00EE404E" w:rsidRPr="002E5B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  <w:r w:rsidRPr="002E5B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000元（以</w:t>
            </w:r>
            <w:r w:rsidR="00C20573" w:rsidRPr="002E5B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</w:t>
            </w:r>
            <w:r w:rsidR="00EE404E" w:rsidRPr="002E5B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惠州</w:t>
            </w:r>
            <w:r w:rsidRPr="002E5B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为例）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54" w:rsidRPr="002E5B87" w:rsidRDefault="00EE404E" w:rsidP="002E5B87">
            <w:pPr>
              <w:pStyle w:val="a6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46320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54" w:rsidRPr="002E5B87" w:rsidRDefault="007D1254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1254" w:rsidRPr="00696BC6" w:rsidTr="00A41CE0">
        <w:trPr>
          <w:trHeight w:val="57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Default="007D1254" w:rsidP="00262F47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地方政府发放优抚金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2E5B87" w:rsidRDefault="007D1254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每年6000元，按2年计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2E5B87" w:rsidRDefault="007D1254" w:rsidP="002E5B87">
            <w:pPr>
              <w:pStyle w:val="a6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2E5B87" w:rsidRDefault="007D1254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1254" w:rsidRPr="00696BC6" w:rsidTr="00A41CE0">
        <w:trPr>
          <w:trHeight w:val="4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Default="007D1254" w:rsidP="00351A3B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地方政府发放过节费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2E5B87" w:rsidRDefault="007D1254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每年2500元，按2年计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2E5B87" w:rsidRDefault="007D1254" w:rsidP="002E5B87">
            <w:pPr>
              <w:pStyle w:val="a6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2E5B87" w:rsidRDefault="007D1254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1254" w:rsidRPr="00696BC6" w:rsidTr="00A41CE0">
        <w:trPr>
          <w:trHeight w:val="65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Default="007D1254" w:rsidP="00351A3B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学校发放奖学金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2E5B87" w:rsidRDefault="007D1254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获评优秀</w:t>
            </w:r>
            <w:proofErr w:type="gramStart"/>
            <w:r w:rsidR="004070C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义务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兵套评一等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奖学金3000元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2E5B87" w:rsidRDefault="007D1254" w:rsidP="002E5B87">
            <w:pPr>
              <w:pStyle w:val="a6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C20573" w:rsidRDefault="007D1254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27F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荣立三等功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以上</w:t>
            </w:r>
            <w:r w:rsidRPr="00227F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按5000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 w:rsidRPr="00227F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</w:t>
            </w:r>
          </w:p>
        </w:tc>
      </w:tr>
      <w:tr w:rsidR="007D1254" w:rsidRPr="00696BC6" w:rsidTr="00A41CE0">
        <w:trPr>
          <w:trHeight w:val="51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Default="007D1254" w:rsidP="00351A3B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学校发放生活</w:t>
            </w:r>
            <w:r w:rsidR="00C271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补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助金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2E5B87" w:rsidRDefault="007D1254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每年6000元，按3年计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2E5B87" w:rsidRDefault="007D1254" w:rsidP="002E5B87">
            <w:pPr>
              <w:pStyle w:val="a6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2E5B87" w:rsidRDefault="002E5B87" w:rsidP="002E5B87">
            <w:pPr>
              <w:pStyle w:val="a6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2017年9月</w:t>
            </w:r>
            <w:r w:rsidR="004070C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开始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每年8000元</w:t>
            </w:r>
          </w:p>
        </w:tc>
      </w:tr>
      <w:tr w:rsidR="007D1254" w:rsidRPr="00696BC6" w:rsidTr="00A41CE0">
        <w:trPr>
          <w:trHeight w:val="108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7D1254" w:rsidRDefault="007D1254" w:rsidP="007D1254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36"/>
                <w:szCs w:val="36"/>
              </w:rPr>
            </w:pPr>
            <w:r w:rsidRPr="007D1254">
              <w:rPr>
                <w:rFonts w:ascii="仿宋_GB2312" w:eastAsia="仿宋_GB2312" w:hint="eastAsia"/>
                <w:b/>
                <w:color w:val="000000"/>
                <w:sz w:val="36"/>
                <w:szCs w:val="36"/>
              </w:rPr>
              <w:t xml:space="preserve">　合</w:t>
            </w:r>
            <w:r w:rsidR="00351A3B">
              <w:rPr>
                <w:rFonts w:ascii="仿宋_GB2312" w:eastAsia="仿宋_GB2312" w:hint="eastAsia"/>
                <w:b/>
                <w:color w:val="000000"/>
                <w:sz w:val="36"/>
                <w:szCs w:val="36"/>
              </w:rPr>
              <w:t xml:space="preserve">  </w:t>
            </w:r>
            <w:r w:rsidRPr="007D1254">
              <w:rPr>
                <w:rFonts w:ascii="仿宋_GB2312" w:eastAsia="仿宋_GB2312" w:hint="eastAsia"/>
                <w:b/>
                <w:color w:val="000000"/>
                <w:sz w:val="36"/>
                <w:szCs w:val="36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Pr="003C1D99" w:rsidRDefault="007D1254" w:rsidP="004070C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20</w:t>
            </w:r>
            <w:r w:rsidR="004070C7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4552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4" w:rsidRDefault="007D1254" w:rsidP="007D125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7D1254" w:rsidRPr="004070C7" w:rsidRDefault="0082528F" w:rsidP="007D1254">
      <w:pPr>
        <w:jc w:val="center"/>
        <w:rPr>
          <w:sz w:val="15"/>
          <w:szCs w:val="15"/>
        </w:rPr>
      </w:pPr>
      <w:r>
        <w:rPr>
          <w:rFonts w:hint="eastAsia"/>
          <w:sz w:val="44"/>
          <w:szCs w:val="44"/>
        </w:rPr>
        <w:t>深圳大学</w:t>
      </w:r>
      <w:r w:rsidR="00EF1211">
        <w:rPr>
          <w:rFonts w:hint="eastAsia"/>
          <w:sz w:val="44"/>
          <w:szCs w:val="44"/>
        </w:rPr>
        <w:t>2016</w:t>
      </w:r>
      <w:r w:rsidR="00351669">
        <w:rPr>
          <w:rFonts w:hint="eastAsia"/>
          <w:sz w:val="44"/>
          <w:szCs w:val="44"/>
        </w:rPr>
        <w:t>年</w:t>
      </w:r>
      <w:r w:rsidR="00935A7B">
        <w:rPr>
          <w:rFonts w:hint="eastAsia"/>
          <w:sz w:val="44"/>
          <w:szCs w:val="44"/>
        </w:rPr>
        <w:t>9</w:t>
      </w:r>
      <w:r w:rsidR="00935A7B">
        <w:rPr>
          <w:rFonts w:hint="eastAsia"/>
          <w:sz w:val="44"/>
          <w:szCs w:val="44"/>
        </w:rPr>
        <w:t>月</w:t>
      </w:r>
      <w:r w:rsidR="00351669">
        <w:rPr>
          <w:rFonts w:hint="eastAsia"/>
          <w:sz w:val="44"/>
          <w:szCs w:val="44"/>
        </w:rPr>
        <w:t>退役复学</w:t>
      </w:r>
      <w:r w:rsidR="00CF48EC">
        <w:rPr>
          <w:rFonts w:hint="eastAsia"/>
          <w:sz w:val="44"/>
          <w:szCs w:val="44"/>
        </w:rPr>
        <w:t>学生补贴估算</w:t>
      </w:r>
      <w:r w:rsidR="002F3959">
        <w:rPr>
          <w:rFonts w:hint="eastAsia"/>
          <w:sz w:val="44"/>
          <w:szCs w:val="44"/>
        </w:rPr>
        <w:t>表</w:t>
      </w:r>
      <w:r w:rsidR="00156F91" w:rsidRPr="004070C7">
        <w:rPr>
          <w:rFonts w:hint="eastAsia"/>
          <w:sz w:val="15"/>
          <w:szCs w:val="15"/>
        </w:rPr>
        <w:t>（</w:t>
      </w:r>
      <w:r w:rsidR="00156F91" w:rsidRPr="004070C7">
        <w:rPr>
          <w:rFonts w:hint="eastAsia"/>
          <w:sz w:val="15"/>
          <w:szCs w:val="15"/>
        </w:rPr>
        <w:t>2017</w:t>
      </w:r>
      <w:r w:rsidR="00156F91" w:rsidRPr="004070C7">
        <w:rPr>
          <w:rFonts w:hint="eastAsia"/>
          <w:sz w:val="15"/>
          <w:szCs w:val="15"/>
        </w:rPr>
        <w:t>年</w:t>
      </w:r>
      <w:r w:rsidR="00156F91" w:rsidRPr="004070C7">
        <w:rPr>
          <w:rFonts w:hint="eastAsia"/>
          <w:sz w:val="15"/>
          <w:szCs w:val="15"/>
        </w:rPr>
        <w:t>3</w:t>
      </w:r>
      <w:r w:rsidR="00156F91" w:rsidRPr="004070C7">
        <w:rPr>
          <w:rFonts w:hint="eastAsia"/>
          <w:sz w:val="15"/>
          <w:szCs w:val="15"/>
        </w:rPr>
        <w:t>月）</w:t>
      </w:r>
    </w:p>
    <w:sectPr w:rsidR="007D1254" w:rsidRPr="004070C7" w:rsidSect="00611B20">
      <w:pgSz w:w="16838" w:h="11906" w:orient="landscape"/>
      <w:pgMar w:top="1797" w:right="1276" w:bottom="179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FB" w:rsidRDefault="009D61FB" w:rsidP="00391D3E">
      <w:r>
        <w:separator/>
      </w:r>
    </w:p>
  </w:endnote>
  <w:endnote w:type="continuationSeparator" w:id="0">
    <w:p w:rsidR="009D61FB" w:rsidRDefault="009D61FB" w:rsidP="00391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FB" w:rsidRDefault="009D61FB" w:rsidP="00391D3E">
      <w:r>
        <w:separator/>
      </w:r>
    </w:p>
  </w:footnote>
  <w:footnote w:type="continuationSeparator" w:id="0">
    <w:p w:rsidR="009D61FB" w:rsidRDefault="009D61FB" w:rsidP="00391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4EC"/>
    <w:rsid w:val="00003E2B"/>
    <w:rsid w:val="00014EA6"/>
    <w:rsid w:val="00033CA7"/>
    <w:rsid w:val="000502F9"/>
    <w:rsid w:val="0005638E"/>
    <w:rsid w:val="00057682"/>
    <w:rsid w:val="00062F90"/>
    <w:rsid w:val="00065A56"/>
    <w:rsid w:val="00077084"/>
    <w:rsid w:val="000A77A9"/>
    <w:rsid w:val="000B19C1"/>
    <w:rsid w:val="000C7165"/>
    <w:rsid w:val="000F1568"/>
    <w:rsid w:val="000F20D4"/>
    <w:rsid w:val="000F41C7"/>
    <w:rsid w:val="000F663C"/>
    <w:rsid w:val="00103436"/>
    <w:rsid w:val="00105CE7"/>
    <w:rsid w:val="00156F91"/>
    <w:rsid w:val="00161219"/>
    <w:rsid w:val="001622AB"/>
    <w:rsid w:val="00175455"/>
    <w:rsid w:val="00175C98"/>
    <w:rsid w:val="00181C32"/>
    <w:rsid w:val="001E00A7"/>
    <w:rsid w:val="001F4D58"/>
    <w:rsid w:val="001F5521"/>
    <w:rsid w:val="002002FE"/>
    <w:rsid w:val="002014DC"/>
    <w:rsid w:val="00201DAD"/>
    <w:rsid w:val="00227F5B"/>
    <w:rsid w:val="00255463"/>
    <w:rsid w:val="00261F31"/>
    <w:rsid w:val="00262F47"/>
    <w:rsid w:val="00267671"/>
    <w:rsid w:val="00296EA9"/>
    <w:rsid w:val="002A0BFD"/>
    <w:rsid w:val="002B10E5"/>
    <w:rsid w:val="002B34F7"/>
    <w:rsid w:val="002C4E11"/>
    <w:rsid w:val="002C7AC1"/>
    <w:rsid w:val="002E4A49"/>
    <w:rsid w:val="002E5B87"/>
    <w:rsid w:val="002F3959"/>
    <w:rsid w:val="00307318"/>
    <w:rsid w:val="003134F5"/>
    <w:rsid w:val="00326F00"/>
    <w:rsid w:val="00351669"/>
    <w:rsid w:val="00351A3B"/>
    <w:rsid w:val="00365F9E"/>
    <w:rsid w:val="00382E91"/>
    <w:rsid w:val="00391D3E"/>
    <w:rsid w:val="003923F6"/>
    <w:rsid w:val="003B191E"/>
    <w:rsid w:val="003C1D99"/>
    <w:rsid w:val="003C2E48"/>
    <w:rsid w:val="004070C7"/>
    <w:rsid w:val="00474235"/>
    <w:rsid w:val="0048104E"/>
    <w:rsid w:val="00484311"/>
    <w:rsid w:val="004849E6"/>
    <w:rsid w:val="00485124"/>
    <w:rsid w:val="00493ED9"/>
    <w:rsid w:val="004F33AF"/>
    <w:rsid w:val="00514FB9"/>
    <w:rsid w:val="00536087"/>
    <w:rsid w:val="00542FF0"/>
    <w:rsid w:val="00544D1C"/>
    <w:rsid w:val="00552813"/>
    <w:rsid w:val="00552B63"/>
    <w:rsid w:val="00554A57"/>
    <w:rsid w:val="00561A2F"/>
    <w:rsid w:val="005903E6"/>
    <w:rsid w:val="005A4DB7"/>
    <w:rsid w:val="005A741D"/>
    <w:rsid w:val="005B137D"/>
    <w:rsid w:val="00611B20"/>
    <w:rsid w:val="00621497"/>
    <w:rsid w:val="00643AC3"/>
    <w:rsid w:val="00660F1B"/>
    <w:rsid w:val="00663C76"/>
    <w:rsid w:val="00687C0B"/>
    <w:rsid w:val="006966D8"/>
    <w:rsid w:val="00696BC6"/>
    <w:rsid w:val="006B2F40"/>
    <w:rsid w:val="006B3B04"/>
    <w:rsid w:val="00705624"/>
    <w:rsid w:val="00707E01"/>
    <w:rsid w:val="00716CA4"/>
    <w:rsid w:val="0075176F"/>
    <w:rsid w:val="007761EA"/>
    <w:rsid w:val="0078249D"/>
    <w:rsid w:val="00784E79"/>
    <w:rsid w:val="007A5079"/>
    <w:rsid w:val="007B4761"/>
    <w:rsid w:val="007D1254"/>
    <w:rsid w:val="007D40EA"/>
    <w:rsid w:val="00801930"/>
    <w:rsid w:val="008114A8"/>
    <w:rsid w:val="0082528F"/>
    <w:rsid w:val="0085515F"/>
    <w:rsid w:val="00863F7A"/>
    <w:rsid w:val="00881A1C"/>
    <w:rsid w:val="00887865"/>
    <w:rsid w:val="008A184C"/>
    <w:rsid w:val="008A5DC2"/>
    <w:rsid w:val="008C77F7"/>
    <w:rsid w:val="008D25D7"/>
    <w:rsid w:val="008D61A3"/>
    <w:rsid w:val="008F14F7"/>
    <w:rsid w:val="009324EC"/>
    <w:rsid w:val="00935A7B"/>
    <w:rsid w:val="00964865"/>
    <w:rsid w:val="0097020B"/>
    <w:rsid w:val="009C6268"/>
    <w:rsid w:val="009C6883"/>
    <w:rsid w:val="009D61FB"/>
    <w:rsid w:val="00A35F57"/>
    <w:rsid w:val="00A40388"/>
    <w:rsid w:val="00A41BD3"/>
    <w:rsid w:val="00A41CE0"/>
    <w:rsid w:val="00A61876"/>
    <w:rsid w:val="00AA6734"/>
    <w:rsid w:val="00AB4AD2"/>
    <w:rsid w:val="00AF380C"/>
    <w:rsid w:val="00B06201"/>
    <w:rsid w:val="00B228C7"/>
    <w:rsid w:val="00B429DC"/>
    <w:rsid w:val="00B53CFB"/>
    <w:rsid w:val="00B60776"/>
    <w:rsid w:val="00B65DDC"/>
    <w:rsid w:val="00B715E6"/>
    <w:rsid w:val="00B7781A"/>
    <w:rsid w:val="00B83DEC"/>
    <w:rsid w:val="00C10286"/>
    <w:rsid w:val="00C11C88"/>
    <w:rsid w:val="00C11F33"/>
    <w:rsid w:val="00C20573"/>
    <w:rsid w:val="00C21C04"/>
    <w:rsid w:val="00C271F9"/>
    <w:rsid w:val="00C3456F"/>
    <w:rsid w:val="00C8053A"/>
    <w:rsid w:val="00C8058B"/>
    <w:rsid w:val="00C94502"/>
    <w:rsid w:val="00CA4340"/>
    <w:rsid w:val="00CB0974"/>
    <w:rsid w:val="00CD09C1"/>
    <w:rsid w:val="00CD0C05"/>
    <w:rsid w:val="00CD1824"/>
    <w:rsid w:val="00CF48EC"/>
    <w:rsid w:val="00CF54B3"/>
    <w:rsid w:val="00CF5E8A"/>
    <w:rsid w:val="00D078FB"/>
    <w:rsid w:val="00D14239"/>
    <w:rsid w:val="00D21656"/>
    <w:rsid w:val="00D277B1"/>
    <w:rsid w:val="00D40271"/>
    <w:rsid w:val="00D51116"/>
    <w:rsid w:val="00D60A08"/>
    <w:rsid w:val="00D61FA2"/>
    <w:rsid w:val="00D8187D"/>
    <w:rsid w:val="00D90D60"/>
    <w:rsid w:val="00DB7CFC"/>
    <w:rsid w:val="00DD01D4"/>
    <w:rsid w:val="00DE7EE6"/>
    <w:rsid w:val="00DF3F02"/>
    <w:rsid w:val="00E12C27"/>
    <w:rsid w:val="00E15579"/>
    <w:rsid w:val="00E16843"/>
    <w:rsid w:val="00E344E4"/>
    <w:rsid w:val="00E6287B"/>
    <w:rsid w:val="00E62D4A"/>
    <w:rsid w:val="00E65418"/>
    <w:rsid w:val="00E7195B"/>
    <w:rsid w:val="00E800FA"/>
    <w:rsid w:val="00E818FA"/>
    <w:rsid w:val="00EA20C1"/>
    <w:rsid w:val="00EB4AAB"/>
    <w:rsid w:val="00EC010C"/>
    <w:rsid w:val="00EC2220"/>
    <w:rsid w:val="00ED3A4E"/>
    <w:rsid w:val="00EE404E"/>
    <w:rsid w:val="00EF1211"/>
    <w:rsid w:val="00F0036F"/>
    <w:rsid w:val="00F24559"/>
    <w:rsid w:val="00F37BCD"/>
    <w:rsid w:val="00F907CA"/>
    <w:rsid w:val="00FB0069"/>
    <w:rsid w:val="00FB0749"/>
    <w:rsid w:val="00FD3B71"/>
    <w:rsid w:val="00FD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40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402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1D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1D3E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227F5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40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402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1D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1D3E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227F5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AD6A-0644-4599-B756-1E5429A9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苏鹏飞</cp:lastModifiedBy>
  <cp:revision>153</cp:revision>
  <cp:lastPrinted>2015-06-17T09:56:00Z</cp:lastPrinted>
  <dcterms:created xsi:type="dcterms:W3CDTF">2015-06-16T09:23:00Z</dcterms:created>
  <dcterms:modified xsi:type="dcterms:W3CDTF">2017-04-10T06:41:00Z</dcterms:modified>
</cp:coreProperties>
</file>