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84" w:rsidRPr="009A5D84" w:rsidRDefault="009A5D84" w:rsidP="009A5D84">
      <w:pPr>
        <w:spacing w:line="220" w:lineRule="atLeast"/>
        <w:jc w:val="center"/>
        <w:rPr>
          <w:rFonts w:ascii="仿宋_GB2312" w:eastAsia="仿宋_GB2312"/>
          <w:b/>
          <w:sz w:val="36"/>
          <w:szCs w:val="36"/>
        </w:rPr>
      </w:pPr>
      <w:r w:rsidRPr="009A5D84">
        <w:rPr>
          <w:rFonts w:ascii="仿宋_GB2312" w:eastAsia="仿宋_GB2312" w:hint="eastAsia"/>
          <w:b/>
          <w:sz w:val="36"/>
          <w:szCs w:val="36"/>
        </w:rPr>
        <w:t>艺术设计学院奖助政策</w:t>
      </w:r>
    </w:p>
    <w:p w:rsidR="00BB0874" w:rsidRDefault="00154911" w:rsidP="00BB0874">
      <w:pPr>
        <w:spacing w:line="220" w:lineRule="atLeast"/>
        <w:ind w:firstLineChars="200" w:firstLine="560"/>
        <w:rPr>
          <w:rFonts w:ascii="仿宋_GB2312" w:eastAsia="仿宋_GB2312"/>
          <w:sz w:val="28"/>
          <w:szCs w:val="28"/>
        </w:rPr>
      </w:pPr>
      <w:r w:rsidRPr="009A5D84">
        <w:rPr>
          <w:rFonts w:ascii="仿宋_GB2312" w:eastAsia="仿宋_GB2312" w:hint="eastAsia"/>
          <w:sz w:val="28"/>
          <w:szCs w:val="28"/>
        </w:rPr>
        <w:t>深圳大学依托地区经济发展优势，进一步加大经费投入力度，通过提高待遇水平，吸引优质生源，鼓励学生专心学业。（1）在评选国家奖学金、发放国家助学金、设置学业奖学金的基础上，提高了校内优秀研究生奖学金、优秀研究生干部奖学金的奖励力度；（2）新设学术创新奖，对研究生发表的高水平论文进行重奖；新设境外学习奖学金，鼓励研究生到境外学习交流，提升国际竞争力；（3）在原先“好日子奖学金”等的基础上，新设“腾迅创始人创新奖学金”等一批社会（企业）奖学金；（4）增加了研究生“三助”岗位数量，提高了岗位待遇；（5）学校还将通过立项资助研究生科研创新课题、鼓励导师提供科研津贴等形式吸引研究生参与高水平科研项目从而获得资助。</w:t>
      </w:r>
    </w:p>
    <w:p w:rsidR="004358AB" w:rsidRDefault="00154911" w:rsidP="00BB0874">
      <w:pPr>
        <w:spacing w:line="220" w:lineRule="atLeast"/>
        <w:ind w:firstLineChars="200" w:firstLine="560"/>
        <w:rPr>
          <w:rFonts w:ascii="仿宋_GB2312" w:eastAsia="仿宋_GB2312"/>
          <w:sz w:val="28"/>
          <w:szCs w:val="28"/>
        </w:rPr>
      </w:pPr>
      <w:r w:rsidRPr="00154911">
        <w:rPr>
          <w:rFonts w:ascii="仿宋_GB2312" w:eastAsia="仿宋_GB2312" w:hint="eastAsia"/>
          <w:sz w:val="28"/>
          <w:szCs w:val="28"/>
        </w:rPr>
        <w:t>按照我校奖助政策体系，以全日制脱产方式学习的2015级非定向硕士研究生一年获得的奖助学金均不少于8000元，表现优异的将不少于5万元，如累计学校现有社会（企业）奖学金、学术创新奖等，一年所获奖助学金可超过8万元。</w:t>
      </w:r>
    </w:p>
    <w:p w:rsidR="00154911" w:rsidRPr="00BB0874" w:rsidRDefault="00154911" w:rsidP="00154911">
      <w:pPr>
        <w:adjustRightInd/>
        <w:snapToGrid/>
        <w:spacing w:after="100" w:afterAutospacing="1" w:line="300" w:lineRule="atLeast"/>
        <w:jc w:val="center"/>
        <w:rPr>
          <w:rFonts w:ascii="宋体" w:eastAsia="宋体" w:hAnsi="宋体" w:cs="宋体"/>
          <w:b/>
          <w:sz w:val="3"/>
          <w:szCs w:val="3"/>
        </w:rPr>
      </w:pPr>
      <w:r w:rsidRPr="00BB0874">
        <w:rPr>
          <w:rFonts w:ascii="宋体" w:eastAsia="宋体" w:hAnsi="宋体" w:cs="宋体"/>
          <w:b/>
          <w:bCs/>
          <w:sz w:val="27"/>
        </w:rPr>
        <w:t>深圳大学硕士研究生奖助体系（2015级）</w:t>
      </w:r>
    </w:p>
    <w:tbl>
      <w:tblPr>
        <w:tblW w:w="10800" w:type="dxa"/>
        <w:jc w:val="center"/>
        <w:tblCellSpacing w:w="7" w:type="dxa"/>
        <w:shd w:val="clear" w:color="auto" w:fill="000000"/>
        <w:tblCellMar>
          <w:top w:w="15" w:type="dxa"/>
          <w:left w:w="15" w:type="dxa"/>
          <w:bottom w:w="15" w:type="dxa"/>
          <w:right w:w="15" w:type="dxa"/>
        </w:tblCellMar>
        <w:tblLook w:val="04A0"/>
      </w:tblPr>
      <w:tblGrid>
        <w:gridCol w:w="3471"/>
        <w:gridCol w:w="541"/>
        <w:gridCol w:w="1466"/>
        <w:gridCol w:w="5322"/>
      </w:tblGrid>
      <w:tr w:rsidR="00154911" w:rsidRPr="00154911" w:rsidTr="00154911">
        <w:trPr>
          <w:tblCellSpacing w:w="7" w:type="dxa"/>
          <w:jc w:val="center"/>
        </w:trPr>
        <w:tc>
          <w:tcPr>
            <w:tcW w:w="1800" w:type="dxa"/>
            <w:shd w:val="clear" w:color="auto" w:fill="CCFFCC"/>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b/>
                <w:bCs/>
                <w:sz w:val="18"/>
              </w:rPr>
              <w:t>奖助项目</w:t>
            </w:r>
          </w:p>
        </w:tc>
        <w:tc>
          <w:tcPr>
            <w:tcW w:w="450" w:type="dxa"/>
            <w:shd w:val="clear" w:color="auto" w:fill="CCFFCC"/>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b/>
                <w:bCs/>
                <w:sz w:val="18"/>
              </w:rPr>
              <w:t>比例</w:t>
            </w:r>
          </w:p>
        </w:tc>
        <w:tc>
          <w:tcPr>
            <w:tcW w:w="0" w:type="auto"/>
            <w:shd w:val="clear" w:color="auto" w:fill="CCFFCC"/>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b/>
                <w:bCs/>
                <w:sz w:val="18"/>
              </w:rPr>
              <w:t>奖励金额</w:t>
            </w:r>
          </w:p>
        </w:tc>
        <w:tc>
          <w:tcPr>
            <w:tcW w:w="0" w:type="auto"/>
            <w:shd w:val="clear" w:color="auto" w:fill="CCFFCC"/>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b/>
                <w:bCs/>
                <w:sz w:val="18"/>
              </w:rPr>
              <w:t>备注</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国家助学金</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100%</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 xml:space="preserve">6000元/年 </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标准学制内均可享受。一年按10个月发放，每人每月600元。</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国家奖学金</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5%</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20000元/年</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标准学制内均可申请。</w:t>
            </w:r>
          </w:p>
        </w:tc>
      </w:tr>
      <w:tr w:rsidR="00154911" w:rsidRPr="00154911" w:rsidTr="00154911">
        <w:trPr>
          <w:tblCellSpacing w:w="7" w:type="dxa"/>
          <w:jc w:val="center"/>
        </w:trPr>
        <w:tc>
          <w:tcPr>
            <w:tcW w:w="0" w:type="auto"/>
            <w:vMerge w:val="restart"/>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学业奖学金</w:t>
            </w:r>
            <w:r w:rsidRPr="00154911">
              <w:rPr>
                <w:rFonts w:ascii="宋体" w:eastAsia="宋体" w:hAnsi="宋体" w:cs="宋体"/>
                <w:sz w:val="18"/>
                <w:szCs w:val="18"/>
              </w:rPr>
              <w:br/>
              <w:t>（分三等，标准学制年限内基本保持不变）</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15%</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一等：10000元/年</w:t>
            </w:r>
          </w:p>
        </w:tc>
        <w:tc>
          <w:tcPr>
            <w:tcW w:w="0" w:type="auto"/>
            <w:vMerge w:val="restart"/>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凡被我校正式录取的推免生和经学校认定的生源优秀的硕士研究生（如985、211院校全日制本科毕业生），均可获得一等学业奖学金。二等学业奖学金由各学院（部）根据被录取学生的入学考试成绩、科研成果、培养潜力等综合因素，按规定比例评定。</w:t>
            </w:r>
          </w:p>
        </w:tc>
      </w:tr>
      <w:tr w:rsidR="00154911" w:rsidRPr="00154911" w:rsidTr="00154911">
        <w:trPr>
          <w:tblCellSpacing w:w="7" w:type="dxa"/>
          <w:jc w:val="center"/>
        </w:trPr>
        <w:tc>
          <w:tcPr>
            <w:tcW w:w="0" w:type="auto"/>
            <w:vMerge/>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35%</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二等：6000元/年</w:t>
            </w:r>
          </w:p>
        </w:tc>
        <w:tc>
          <w:tcPr>
            <w:tcW w:w="0" w:type="auto"/>
            <w:vMerge/>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p>
        </w:tc>
      </w:tr>
      <w:tr w:rsidR="00154911" w:rsidRPr="00154911" w:rsidTr="00154911">
        <w:trPr>
          <w:tblCellSpacing w:w="7" w:type="dxa"/>
          <w:jc w:val="center"/>
        </w:trPr>
        <w:tc>
          <w:tcPr>
            <w:tcW w:w="0" w:type="auto"/>
            <w:vMerge/>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50%</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三等：2000元/年</w:t>
            </w:r>
          </w:p>
        </w:tc>
        <w:tc>
          <w:tcPr>
            <w:tcW w:w="0" w:type="auto"/>
            <w:vMerge/>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校优秀研究生奖</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20%</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4000元/年</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二、三年级可申请。</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校优秀研究生干部奖</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3%</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4000元/年</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二、三年级可申请。</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研究生学术创新奖</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 </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5000-60000元/篇</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奖励研究生公开发表的高水平学术论文，标准学制内均可申请。</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境外学习奖学金</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 </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特等10000元/学期一等5000元/学期二等3000元/学期</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一年级、二年级研究生可申请，获奖比例、标准以国际交流合作部的通知为准。</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校优秀毕业研究生</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 </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3000元/年</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应届毕业生可申请，获奖比例约为当年应届毕业生人数的10%。</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优秀硕士论文奖</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 </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1500元/篇</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应届毕业生可申请。获奖比例约为当年应届毕业生人数的3%。</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proofErr w:type="gramStart"/>
            <w:r w:rsidRPr="00154911">
              <w:rPr>
                <w:rFonts w:ascii="宋体" w:eastAsia="宋体" w:hAnsi="宋体" w:cs="宋体"/>
                <w:sz w:val="18"/>
                <w:szCs w:val="18"/>
              </w:rPr>
              <w:t>研究生三助酬金</w:t>
            </w:r>
            <w:proofErr w:type="gramEnd"/>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30%</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8000元/年</w:t>
            </w:r>
          </w:p>
        </w:tc>
        <w:tc>
          <w:tcPr>
            <w:tcW w:w="0" w:type="auto"/>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标准学制内均可申请。一年按10个月发放，</w:t>
            </w:r>
            <w:proofErr w:type="gramStart"/>
            <w:r w:rsidRPr="00154911">
              <w:rPr>
                <w:rFonts w:ascii="宋体" w:eastAsia="宋体" w:hAnsi="宋体" w:cs="宋体"/>
                <w:sz w:val="18"/>
                <w:szCs w:val="18"/>
              </w:rPr>
              <w:t>每月每岗800元</w:t>
            </w:r>
            <w:proofErr w:type="gramEnd"/>
            <w:r w:rsidRPr="00154911">
              <w:rPr>
                <w:rFonts w:ascii="宋体" w:eastAsia="宋体" w:hAnsi="宋体" w:cs="宋体"/>
                <w:sz w:val="18"/>
                <w:szCs w:val="18"/>
              </w:rPr>
              <w:t>。</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lastRenderedPageBreak/>
              <w:t>研究生社会奖学金</w:t>
            </w:r>
            <w:r w:rsidRPr="00154911">
              <w:rPr>
                <w:rFonts w:ascii="宋体" w:eastAsia="宋体" w:hAnsi="宋体" w:cs="宋体"/>
                <w:sz w:val="18"/>
                <w:szCs w:val="18"/>
              </w:rPr>
              <w:br/>
              <w:t>（面向全校）</w:t>
            </w:r>
          </w:p>
        </w:tc>
        <w:tc>
          <w:tcPr>
            <w:tcW w:w="0" w:type="auto"/>
            <w:gridSpan w:val="3"/>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1、</w:t>
            </w:r>
            <w:proofErr w:type="gramStart"/>
            <w:r w:rsidRPr="00154911">
              <w:rPr>
                <w:rFonts w:ascii="宋体" w:eastAsia="宋体" w:hAnsi="宋体" w:cs="宋体"/>
                <w:sz w:val="18"/>
                <w:szCs w:val="18"/>
              </w:rPr>
              <w:t>腾讯创始人</w:t>
            </w:r>
            <w:proofErr w:type="gramEnd"/>
            <w:r w:rsidRPr="00154911">
              <w:rPr>
                <w:rFonts w:ascii="宋体" w:eastAsia="宋体" w:hAnsi="宋体" w:cs="宋体"/>
                <w:sz w:val="18"/>
                <w:szCs w:val="18"/>
              </w:rPr>
              <w:t>创新奖学金，每年奖励30名硕士研究生，奖金25000元/人。</w:t>
            </w:r>
            <w:r w:rsidRPr="00154911">
              <w:rPr>
                <w:rFonts w:ascii="宋体" w:eastAsia="宋体" w:hAnsi="宋体" w:cs="宋体"/>
                <w:sz w:val="18"/>
                <w:szCs w:val="18"/>
              </w:rPr>
              <w:br/>
              <w:t>2、“好日子奖学金”，每年奖励9名研究生，奖金10000元/人。</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研究生社会奖学金</w:t>
            </w:r>
            <w:r w:rsidRPr="00154911">
              <w:rPr>
                <w:rFonts w:ascii="宋体" w:eastAsia="宋体" w:hAnsi="宋体" w:cs="宋体"/>
                <w:sz w:val="18"/>
                <w:szCs w:val="18"/>
              </w:rPr>
              <w:br/>
              <w:t>（面向特定学院或专业）</w:t>
            </w:r>
          </w:p>
        </w:tc>
        <w:tc>
          <w:tcPr>
            <w:tcW w:w="0" w:type="auto"/>
            <w:gridSpan w:val="3"/>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proofErr w:type="gramStart"/>
            <w:r w:rsidRPr="00154911">
              <w:rPr>
                <w:rFonts w:ascii="宋体" w:eastAsia="宋体" w:hAnsi="宋体" w:cs="宋体"/>
                <w:sz w:val="18"/>
                <w:szCs w:val="18"/>
              </w:rPr>
              <w:t>牛憨笨</w:t>
            </w:r>
            <w:proofErr w:type="gramEnd"/>
            <w:r w:rsidRPr="00154911">
              <w:rPr>
                <w:rFonts w:ascii="宋体" w:eastAsia="宋体" w:hAnsi="宋体" w:cs="宋体"/>
                <w:sz w:val="18"/>
                <w:szCs w:val="18"/>
              </w:rPr>
              <w:t>奖学金（光电工程学院）、侯宝垣人文奖学金（文学院）、本</w:t>
            </w:r>
            <w:proofErr w:type="gramStart"/>
            <w:r w:rsidRPr="00154911">
              <w:rPr>
                <w:rFonts w:ascii="宋体" w:eastAsia="宋体" w:hAnsi="宋体" w:cs="宋体"/>
                <w:sz w:val="18"/>
                <w:szCs w:val="18"/>
              </w:rPr>
              <w:t>焕</w:t>
            </w:r>
            <w:proofErr w:type="gramEnd"/>
            <w:r w:rsidRPr="00154911">
              <w:rPr>
                <w:rFonts w:ascii="宋体" w:eastAsia="宋体" w:hAnsi="宋体" w:cs="宋体"/>
                <w:sz w:val="18"/>
                <w:szCs w:val="18"/>
              </w:rPr>
              <w:t>人文奖学金（文学院）、赛达.佳兆业奖学金（建筑与城市规划学院）、</w:t>
            </w:r>
            <w:proofErr w:type="gramStart"/>
            <w:r w:rsidRPr="00154911">
              <w:rPr>
                <w:rFonts w:ascii="宋体" w:eastAsia="宋体" w:hAnsi="宋体" w:cs="宋体"/>
                <w:sz w:val="18"/>
                <w:szCs w:val="18"/>
              </w:rPr>
              <w:t>敏通奖学金</w:t>
            </w:r>
            <w:proofErr w:type="gramEnd"/>
            <w:r w:rsidRPr="00154911">
              <w:rPr>
                <w:rFonts w:ascii="宋体" w:eastAsia="宋体" w:hAnsi="宋体" w:cs="宋体"/>
                <w:sz w:val="18"/>
                <w:szCs w:val="18"/>
              </w:rPr>
              <w:t>（电子科学技术学院）、深圳市集成电路产业奖学金（信息工程学院）、正中奖学金（土木工程学院）、海岸奖学金（土木工程学院）、</w:t>
            </w:r>
            <w:proofErr w:type="gramStart"/>
            <w:r w:rsidRPr="00154911">
              <w:rPr>
                <w:rFonts w:ascii="宋体" w:eastAsia="宋体" w:hAnsi="宋体" w:cs="宋体"/>
                <w:sz w:val="18"/>
                <w:szCs w:val="18"/>
              </w:rPr>
              <w:t>院长奖</w:t>
            </w:r>
            <w:proofErr w:type="gramEnd"/>
            <w:r w:rsidRPr="00154911">
              <w:rPr>
                <w:rFonts w:ascii="宋体" w:eastAsia="宋体" w:hAnsi="宋体" w:cs="宋体"/>
                <w:sz w:val="18"/>
                <w:szCs w:val="18"/>
              </w:rPr>
              <w:t>助学金（生命科学学院）……获奖比例、标准以相关学院评奖通知为准。</w:t>
            </w:r>
          </w:p>
        </w:tc>
      </w:tr>
      <w:tr w:rsidR="00154911" w:rsidRPr="00154911" w:rsidTr="00154911">
        <w:trPr>
          <w:tblCellSpacing w:w="7" w:type="dxa"/>
          <w:jc w:val="center"/>
        </w:trPr>
        <w:tc>
          <w:tcPr>
            <w:tcW w:w="0" w:type="auto"/>
            <w:shd w:val="clear" w:color="auto" w:fill="FFFFFF"/>
            <w:vAlign w:val="center"/>
            <w:hideMark/>
          </w:tcPr>
          <w:p w:rsidR="00154911" w:rsidRPr="00154911" w:rsidRDefault="00154911" w:rsidP="00154911">
            <w:pPr>
              <w:adjustRightInd/>
              <w:snapToGrid/>
              <w:spacing w:after="0"/>
              <w:jc w:val="center"/>
              <w:rPr>
                <w:rFonts w:ascii="宋体" w:eastAsia="宋体" w:hAnsi="宋体" w:cs="宋体"/>
                <w:sz w:val="18"/>
                <w:szCs w:val="18"/>
              </w:rPr>
            </w:pPr>
            <w:r w:rsidRPr="00154911">
              <w:rPr>
                <w:rFonts w:ascii="宋体" w:eastAsia="宋体" w:hAnsi="宋体" w:cs="宋体"/>
                <w:sz w:val="18"/>
                <w:szCs w:val="18"/>
              </w:rPr>
              <w:t>导师科研津贴</w:t>
            </w:r>
          </w:p>
        </w:tc>
        <w:tc>
          <w:tcPr>
            <w:tcW w:w="0" w:type="auto"/>
            <w:gridSpan w:val="3"/>
            <w:shd w:val="clear" w:color="auto" w:fill="FFFFFF"/>
            <w:vAlign w:val="center"/>
            <w:hideMark/>
          </w:tcPr>
          <w:p w:rsidR="00154911" w:rsidRPr="00154911" w:rsidRDefault="00154911" w:rsidP="00154911">
            <w:pPr>
              <w:adjustRightInd/>
              <w:snapToGrid/>
              <w:spacing w:after="0"/>
              <w:rPr>
                <w:rFonts w:ascii="宋体" w:eastAsia="宋体" w:hAnsi="宋体" w:cs="宋体"/>
                <w:sz w:val="18"/>
                <w:szCs w:val="18"/>
              </w:rPr>
            </w:pPr>
            <w:r w:rsidRPr="00154911">
              <w:rPr>
                <w:rFonts w:ascii="宋体" w:eastAsia="宋体" w:hAnsi="宋体" w:cs="宋体"/>
                <w:sz w:val="18"/>
                <w:szCs w:val="18"/>
              </w:rPr>
              <w:t>根据导师课题经费来源及学生参与科研工作量定期发放，标准及条件由导师自定。不同专业间会有差别。</w:t>
            </w:r>
          </w:p>
        </w:tc>
      </w:tr>
    </w:tbl>
    <w:p w:rsidR="00154911" w:rsidRDefault="00154911" w:rsidP="00154911">
      <w:pPr>
        <w:spacing w:line="220" w:lineRule="atLeast"/>
        <w:ind w:firstLine="555"/>
        <w:rPr>
          <w:rFonts w:ascii="仿宋_GB2312" w:eastAsia="仿宋_GB2312"/>
          <w:sz w:val="28"/>
          <w:szCs w:val="28"/>
        </w:rPr>
      </w:pPr>
    </w:p>
    <w:p w:rsidR="00154911" w:rsidRPr="00154911" w:rsidRDefault="00154911" w:rsidP="00154911">
      <w:pPr>
        <w:adjustRightInd/>
        <w:snapToGrid/>
        <w:spacing w:after="0" w:line="300" w:lineRule="atLeast"/>
        <w:ind w:firstLineChars="200" w:firstLine="560"/>
        <w:rPr>
          <w:rFonts w:ascii="仿宋_GB2312" w:eastAsia="仿宋_GB2312" w:hAnsi="宋体" w:cs="宋体"/>
          <w:color w:val="111111"/>
          <w:sz w:val="28"/>
          <w:szCs w:val="28"/>
        </w:rPr>
      </w:pPr>
      <w:r w:rsidRPr="00154911">
        <w:rPr>
          <w:rFonts w:ascii="仿宋_GB2312" w:eastAsia="仿宋_GB2312" w:hAnsi="宋体" w:cs="宋体" w:hint="eastAsia"/>
          <w:color w:val="111111"/>
          <w:sz w:val="28"/>
          <w:szCs w:val="28"/>
        </w:rPr>
        <w:t>*表中各类奖助学金主要面向以全日制脱产方式</w:t>
      </w:r>
      <w:proofErr w:type="gramStart"/>
      <w:r w:rsidRPr="00154911">
        <w:rPr>
          <w:rFonts w:ascii="仿宋_GB2312" w:eastAsia="仿宋_GB2312" w:hAnsi="宋体" w:cs="宋体" w:hint="eastAsia"/>
          <w:color w:val="111111"/>
          <w:sz w:val="28"/>
          <w:szCs w:val="28"/>
        </w:rPr>
        <w:t>学习非</w:t>
      </w:r>
      <w:proofErr w:type="gramEnd"/>
      <w:r w:rsidRPr="00154911">
        <w:rPr>
          <w:rFonts w:ascii="仿宋_GB2312" w:eastAsia="仿宋_GB2312" w:hAnsi="宋体" w:cs="宋体" w:hint="eastAsia"/>
          <w:color w:val="111111"/>
          <w:sz w:val="28"/>
          <w:szCs w:val="28"/>
        </w:rPr>
        <w:t>定向硕士研究生（非周末授课班）评选，评选细则以学校相关文件及通知为准。</w:t>
      </w:r>
      <w:r w:rsidRPr="00154911">
        <w:rPr>
          <w:rFonts w:ascii="仿宋_GB2312" w:eastAsia="仿宋_GB2312" w:hAnsi="宋体" w:cs="宋体" w:hint="eastAsia"/>
          <w:color w:val="111111"/>
          <w:sz w:val="28"/>
          <w:szCs w:val="28"/>
        </w:rPr>
        <w:br/>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*以在职形式学习的专业学位硕士研究生（周末授课班）奖助的标准及评选办法以相关招生简章及学校或学院的有关文件规定为准。</w:t>
      </w:r>
      <w:r w:rsidRPr="00154911">
        <w:rPr>
          <w:rFonts w:ascii="仿宋_GB2312" w:eastAsia="仿宋_GB2312" w:hAnsi="宋体" w:cs="宋体" w:hint="eastAsia"/>
          <w:color w:val="111111"/>
          <w:sz w:val="28"/>
          <w:szCs w:val="28"/>
        </w:rPr>
        <w:br/>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*定向生不享受奖助学金，如有特殊情况，以单位、学校、个人三方所签订的定向协议所规定内容为准。</w:t>
      </w:r>
      <w:r w:rsidRPr="00154911">
        <w:rPr>
          <w:rFonts w:ascii="仿宋_GB2312" w:eastAsia="仿宋_GB2312" w:hAnsi="宋体" w:cs="宋体" w:hint="eastAsia"/>
          <w:color w:val="111111"/>
          <w:sz w:val="28"/>
          <w:szCs w:val="28"/>
        </w:rPr>
        <w:br/>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*表中具体内容如有调整，以学校更新通知为准。</w:t>
      </w:r>
    </w:p>
    <w:p w:rsidR="00154911" w:rsidRPr="00154911" w:rsidRDefault="00256F82" w:rsidP="00154911">
      <w:pPr>
        <w:adjustRightInd/>
        <w:snapToGrid/>
        <w:spacing w:after="0" w:line="300" w:lineRule="atLeast"/>
        <w:rPr>
          <w:rFonts w:ascii="仿宋_GB2312" w:eastAsia="仿宋_GB2312" w:hAnsi="宋体" w:cs="宋体"/>
          <w:color w:val="111111"/>
          <w:sz w:val="28"/>
          <w:szCs w:val="28"/>
        </w:rPr>
      </w:pPr>
      <w:r w:rsidRPr="00256F82">
        <w:rPr>
          <w:rFonts w:ascii="仿宋_GB2312" w:eastAsia="仿宋_GB2312" w:hAnsi="宋体" w:cs="宋体"/>
          <w:color w:val="111111"/>
          <w:sz w:val="28"/>
          <w:szCs w:val="28"/>
        </w:rPr>
        <w:pict>
          <v:rect id="_x0000_i1025" style="width:0;height:1.5pt" o:hralign="center" o:hrstd="t" o:hr="t" fillcolor="gray" stroked="f"/>
        </w:pict>
      </w:r>
    </w:p>
    <w:p w:rsidR="00154911" w:rsidRPr="00154911" w:rsidRDefault="00154911" w:rsidP="00154911">
      <w:pPr>
        <w:spacing w:line="220" w:lineRule="atLeast"/>
        <w:rPr>
          <w:rFonts w:ascii="仿宋_GB2312" w:eastAsia="仿宋_GB2312"/>
          <w:sz w:val="28"/>
          <w:szCs w:val="28"/>
        </w:rPr>
      </w:pPr>
      <w:r w:rsidRPr="00BB0874">
        <w:rPr>
          <w:rFonts w:ascii="仿宋_GB2312" w:eastAsia="仿宋_GB2312" w:hAnsi="宋体" w:cs="宋体" w:hint="eastAsia"/>
          <w:b/>
          <w:bCs/>
          <w:sz w:val="28"/>
          <w:szCs w:val="28"/>
        </w:rPr>
        <w:t>附：部分校内及</w:t>
      </w:r>
      <w:proofErr w:type="gramStart"/>
      <w:r w:rsidRPr="00BB0874">
        <w:rPr>
          <w:rFonts w:ascii="仿宋_GB2312" w:eastAsia="仿宋_GB2312" w:hAnsi="宋体" w:cs="宋体" w:hint="eastAsia"/>
          <w:b/>
          <w:bCs/>
          <w:sz w:val="28"/>
          <w:szCs w:val="28"/>
        </w:rPr>
        <w:t>社会奖</w:t>
      </w:r>
      <w:proofErr w:type="gramEnd"/>
      <w:r w:rsidRPr="00BB0874">
        <w:rPr>
          <w:rFonts w:ascii="仿宋_GB2312" w:eastAsia="仿宋_GB2312" w:hAnsi="宋体" w:cs="宋体" w:hint="eastAsia"/>
          <w:b/>
          <w:bCs/>
          <w:sz w:val="28"/>
          <w:szCs w:val="28"/>
        </w:rPr>
        <w:t>助学金简介</w:t>
      </w:r>
      <w:r w:rsidRPr="00154911">
        <w:rPr>
          <w:rFonts w:ascii="仿宋_GB2312" w:eastAsia="仿宋_GB2312" w:hAnsi="宋体" w:cs="宋体" w:hint="eastAsia"/>
          <w:color w:val="111111"/>
          <w:sz w:val="28"/>
          <w:szCs w:val="28"/>
        </w:rPr>
        <w:br/>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 xml:space="preserve"> </w:t>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 xml:space="preserve"> </w:t>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1、深圳大学境外学习奖学金，鼓励学生到境外学习交流，提升国际竞争力。奖励等级:特等每学期人民币10000元/人;一等每学期人民币5000元/人;</w:t>
      </w:r>
      <w:proofErr w:type="gramStart"/>
      <w:r w:rsidRPr="00154911">
        <w:rPr>
          <w:rFonts w:ascii="仿宋_GB2312" w:eastAsia="仿宋_GB2312" w:hAnsi="宋体" w:cs="宋体" w:hint="eastAsia"/>
          <w:color w:val="111111"/>
          <w:sz w:val="28"/>
          <w:szCs w:val="28"/>
        </w:rPr>
        <w:t>二等每</w:t>
      </w:r>
      <w:proofErr w:type="gramEnd"/>
      <w:r w:rsidRPr="00154911">
        <w:rPr>
          <w:rFonts w:ascii="仿宋_GB2312" w:eastAsia="仿宋_GB2312" w:hAnsi="宋体" w:cs="宋体" w:hint="eastAsia"/>
          <w:color w:val="111111"/>
          <w:sz w:val="28"/>
          <w:szCs w:val="28"/>
        </w:rPr>
        <w:t>学期人民币3000元/人。研究生的评选范围：全日制一年级、二年级。2014年首次评选，有7名研究生获奖。</w:t>
      </w:r>
      <w:r w:rsidRPr="00154911">
        <w:rPr>
          <w:rFonts w:ascii="仿宋_GB2312" w:eastAsia="仿宋_GB2312" w:hAnsi="宋体" w:cs="宋体" w:hint="eastAsia"/>
          <w:color w:val="111111"/>
          <w:sz w:val="28"/>
          <w:szCs w:val="28"/>
        </w:rPr>
        <w:br/>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 xml:space="preserve"> </w:t>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 xml:space="preserve"> </w:t>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2、深圳大学好日子奖金学，总额1000万元，是中国烟草公司深圳分公司在市慈善会发起设立的冠名基金，为期10年，每年拿出100万用于奖励品学兼优学生，其中全日制在校研究生每年获奖名额为9名，奖励金额为每人10000元人民币。</w:t>
      </w:r>
      <w:r w:rsidRPr="00154911">
        <w:rPr>
          <w:rFonts w:ascii="仿宋_GB2312" w:eastAsia="仿宋_GB2312" w:hAnsi="宋体" w:cs="宋体" w:hint="eastAsia"/>
          <w:color w:val="111111"/>
          <w:sz w:val="28"/>
          <w:szCs w:val="28"/>
        </w:rPr>
        <w:br/>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 xml:space="preserve"> </w:t>
      </w:r>
      <w:r w:rsidRPr="00154911">
        <w:rPr>
          <w:rFonts w:ascii="宋体" w:eastAsia="仿宋_GB2312" w:hAnsi="宋体" w:cs="宋体" w:hint="eastAsia"/>
          <w:color w:val="111111"/>
          <w:sz w:val="28"/>
          <w:szCs w:val="28"/>
        </w:rPr>
        <w:t> </w:t>
      </w:r>
      <w:r w:rsidRPr="00154911">
        <w:rPr>
          <w:rFonts w:ascii="仿宋_GB2312" w:eastAsia="仿宋_GB2312" w:hAnsi="宋体" w:cs="宋体" w:hint="eastAsia"/>
          <w:color w:val="111111"/>
          <w:sz w:val="28"/>
          <w:szCs w:val="28"/>
        </w:rPr>
        <w:t xml:space="preserve"> </w:t>
      </w:r>
    </w:p>
    <w:sectPr w:rsidR="00154911" w:rsidRPr="0015491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DFD" w:rsidRDefault="00105DFD" w:rsidP="00B16BDC">
      <w:pPr>
        <w:spacing w:after="0"/>
      </w:pPr>
      <w:r>
        <w:separator/>
      </w:r>
    </w:p>
  </w:endnote>
  <w:endnote w:type="continuationSeparator" w:id="0">
    <w:p w:rsidR="00105DFD" w:rsidRDefault="00105DFD" w:rsidP="00B16B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altName w:val="hakuyoxingshu7000"/>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DFD" w:rsidRDefault="00105DFD" w:rsidP="00B16BDC">
      <w:pPr>
        <w:spacing w:after="0"/>
      </w:pPr>
      <w:r>
        <w:separator/>
      </w:r>
    </w:p>
  </w:footnote>
  <w:footnote w:type="continuationSeparator" w:id="0">
    <w:p w:rsidR="00105DFD" w:rsidRDefault="00105DFD" w:rsidP="00B16BD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105DFD"/>
    <w:rsid w:val="00154911"/>
    <w:rsid w:val="00256F82"/>
    <w:rsid w:val="00323B43"/>
    <w:rsid w:val="003D37D8"/>
    <w:rsid w:val="003E5D1F"/>
    <w:rsid w:val="00426133"/>
    <w:rsid w:val="004358AB"/>
    <w:rsid w:val="008B7726"/>
    <w:rsid w:val="009A5D84"/>
    <w:rsid w:val="00B16BDC"/>
    <w:rsid w:val="00BB0874"/>
    <w:rsid w:val="00D31D50"/>
    <w:rsid w:val="00E67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4911"/>
    <w:rPr>
      <w:b/>
      <w:bCs/>
    </w:rPr>
  </w:style>
  <w:style w:type="paragraph" w:styleId="a4">
    <w:name w:val="header"/>
    <w:basedOn w:val="a"/>
    <w:link w:val="Char"/>
    <w:uiPriority w:val="99"/>
    <w:semiHidden/>
    <w:unhideWhenUsed/>
    <w:rsid w:val="00B16BD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B16BDC"/>
    <w:rPr>
      <w:rFonts w:ascii="Tahoma" w:hAnsi="Tahoma"/>
      <w:sz w:val="18"/>
      <w:szCs w:val="18"/>
    </w:rPr>
  </w:style>
  <w:style w:type="paragraph" w:styleId="a5">
    <w:name w:val="footer"/>
    <w:basedOn w:val="a"/>
    <w:link w:val="Char0"/>
    <w:uiPriority w:val="99"/>
    <w:semiHidden/>
    <w:unhideWhenUsed/>
    <w:rsid w:val="00B16BDC"/>
    <w:pPr>
      <w:tabs>
        <w:tab w:val="center" w:pos="4153"/>
        <w:tab w:val="right" w:pos="8306"/>
      </w:tabs>
    </w:pPr>
    <w:rPr>
      <w:sz w:val="18"/>
      <w:szCs w:val="18"/>
    </w:rPr>
  </w:style>
  <w:style w:type="character" w:customStyle="1" w:styleId="Char0">
    <w:name w:val="页脚 Char"/>
    <w:basedOn w:val="a0"/>
    <w:link w:val="a5"/>
    <w:uiPriority w:val="99"/>
    <w:semiHidden/>
    <w:rsid w:val="00B16BD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71872242">
      <w:bodyDiv w:val="1"/>
      <w:marLeft w:val="0"/>
      <w:marRight w:val="0"/>
      <w:marTop w:val="0"/>
      <w:marBottom w:val="0"/>
      <w:divBdr>
        <w:top w:val="none" w:sz="0" w:space="0" w:color="auto"/>
        <w:left w:val="none" w:sz="0" w:space="0" w:color="auto"/>
        <w:bottom w:val="none" w:sz="0" w:space="0" w:color="auto"/>
        <w:right w:val="none" w:sz="0" w:space="0" w:color="auto"/>
      </w:divBdr>
      <w:divsChild>
        <w:div w:id="506553819">
          <w:marLeft w:val="0"/>
          <w:marRight w:val="0"/>
          <w:marTop w:val="0"/>
          <w:marBottom w:val="0"/>
          <w:divBdr>
            <w:top w:val="none" w:sz="0" w:space="0" w:color="auto"/>
            <w:left w:val="none" w:sz="0" w:space="0" w:color="auto"/>
            <w:bottom w:val="none" w:sz="0" w:space="0" w:color="auto"/>
            <w:right w:val="none" w:sz="0" w:space="0" w:color="auto"/>
          </w:divBdr>
          <w:divsChild>
            <w:div w:id="1391465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34246354">
      <w:bodyDiv w:val="1"/>
      <w:marLeft w:val="0"/>
      <w:marRight w:val="0"/>
      <w:marTop w:val="0"/>
      <w:marBottom w:val="0"/>
      <w:divBdr>
        <w:top w:val="none" w:sz="0" w:space="0" w:color="auto"/>
        <w:left w:val="none" w:sz="0" w:space="0" w:color="auto"/>
        <w:bottom w:val="none" w:sz="0" w:space="0" w:color="auto"/>
        <w:right w:val="none" w:sz="0" w:space="0" w:color="auto"/>
      </w:divBdr>
      <w:divsChild>
        <w:div w:id="349335117">
          <w:marLeft w:val="0"/>
          <w:marRight w:val="0"/>
          <w:marTop w:val="0"/>
          <w:marBottom w:val="0"/>
          <w:divBdr>
            <w:top w:val="none" w:sz="0" w:space="0" w:color="auto"/>
            <w:left w:val="none" w:sz="0" w:space="0" w:color="auto"/>
            <w:bottom w:val="none" w:sz="0" w:space="0" w:color="auto"/>
            <w:right w:val="none" w:sz="0" w:space="0" w:color="auto"/>
          </w:divBdr>
          <w:divsChild>
            <w:div w:id="40299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6825255">
      <w:bodyDiv w:val="1"/>
      <w:marLeft w:val="0"/>
      <w:marRight w:val="0"/>
      <w:marTop w:val="0"/>
      <w:marBottom w:val="0"/>
      <w:divBdr>
        <w:top w:val="none" w:sz="0" w:space="0" w:color="auto"/>
        <w:left w:val="none" w:sz="0" w:space="0" w:color="auto"/>
        <w:bottom w:val="none" w:sz="0" w:space="0" w:color="auto"/>
        <w:right w:val="none" w:sz="0" w:space="0" w:color="auto"/>
      </w:divBdr>
      <w:divsChild>
        <w:div w:id="1749381620">
          <w:marLeft w:val="0"/>
          <w:marRight w:val="0"/>
          <w:marTop w:val="0"/>
          <w:marBottom w:val="0"/>
          <w:divBdr>
            <w:top w:val="none" w:sz="0" w:space="0" w:color="auto"/>
            <w:left w:val="none" w:sz="0" w:space="0" w:color="auto"/>
            <w:bottom w:val="none" w:sz="0" w:space="0" w:color="auto"/>
            <w:right w:val="none" w:sz="0" w:space="0" w:color="auto"/>
          </w:divBdr>
          <w:divsChild>
            <w:div w:id="75563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71947419">
      <w:bodyDiv w:val="1"/>
      <w:marLeft w:val="0"/>
      <w:marRight w:val="0"/>
      <w:marTop w:val="0"/>
      <w:marBottom w:val="0"/>
      <w:divBdr>
        <w:top w:val="none" w:sz="0" w:space="0" w:color="auto"/>
        <w:left w:val="none" w:sz="0" w:space="0" w:color="auto"/>
        <w:bottom w:val="none" w:sz="0" w:space="0" w:color="auto"/>
        <w:right w:val="none" w:sz="0" w:space="0" w:color="auto"/>
      </w:divBdr>
      <w:divsChild>
        <w:div w:id="121465515">
          <w:marLeft w:val="0"/>
          <w:marRight w:val="0"/>
          <w:marTop w:val="0"/>
          <w:marBottom w:val="0"/>
          <w:divBdr>
            <w:top w:val="none" w:sz="0" w:space="0" w:color="auto"/>
            <w:left w:val="none" w:sz="0" w:space="0" w:color="auto"/>
            <w:bottom w:val="none" w:sz="0" w:space="0" w:color="auto"/>
            <w:right w:val="none" w:sz="0" w:space="0" w:color="auto"/>
          </w:divBdr>
          <w:divsChild>
            <w:div w:id="10108332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6138598">
      <w:bodyDiv w:val="1"/>
      <w:marLeft w:val="0"/>
      <w:marRight w:val="0"/>
      <w:marTop w:val="0"/>
      <w:marBottom w:val="0"/>
      <w:divBdr>
        <w:top w:val="none" w:sz="0" w:space="0" w:color="auto"/>
        <w:left w:val="none" w:sz="0" w:space="0" w:color="auto"/>
        <w:bottom w:val="none" w:sz="0" w:space="0" w:color="auto"/>
        <w:right w:val="none" w:sz="0" w:space="0" w:color="auto"/>
      </w:divBdr>
      <w:divsChild>
        <w:div w:id="275255933">
          <w:marLeft w:val="0"/>
          <w:marRight w:val="0"/>
          <w:marTop w:val="0"/>
          <w:marBottom w:val="0"/>
          <w:divBdr>
            <w:top w:val="none" w:sz="0" w:space="0" w:color="auto"/>
            <w:left w:val="none" w:sz="0" w:space="0" w:color="auto"/>
            <w:bottom w:val="none" w:sz="0" w:space="0" w:color="auto"/>
            <w:right w:val="none" w:sz="0" w:space="0" w:color="auto"/>
          </w:divBdr>
          <w:divsChild>
            <w:div w:id="11194907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0922098">
      <w:bodyDiv w:val="1"/>
      <w:marLeft w:val="0"/>
      <w:marRight w:val="0"/>
      <w:marTop w:val="0"/>
      <w:marBottom w:val="0"/>
      <w:divBdr>
        <w:top w:val="none" w:sz="0" w:space="0" w:color="auto"/>
        <w:left w:val="none" w:sz="0" w:space="0" w:color="auto"/>
        <w:bottom w:val="none" w:sz="0" w:space="0" w:color="auto"/>
        <w:right w:val="none" w:sz="0" w:space="0" w:color="auto"/>
      </w:divBdr>
      <w:divsChild>
        <w:div w:id="507016056">
          <w:marLeft w:val="0"/>
          <w:marRight w:val="0"/>
          <w:marTop w:val="0"/>
          <w:marBottom w:val="0"/>
          <w:divBdr>
            <w:top w:val="none" w:sz="0" w:space="0" w:color="auto"/>
            <w:left w:val="none" w:sz="0" w:space="0" w:color="auto"/>
            <w:bottom w:val="none" w:sz="0" w:space="0" w:color="auto"/>
            <w:right w:val="none" w:sz="0" w:space="0" w:color="auto"/>
          </w:divBdr>
          <w:divsChild>
            <w:div w:id="19123499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5</cp:revision>
  <dcterms:created xsi:type="dcterms:W3CDTF">2008-09-11T17:20:00Z</dcterms:created>
  <dcterms:modified xsi:type="dcterms:W3CDTF">2015-05-26T01:33:00Z</dcterms:modified>
</cp:coreProperties>
</file>